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2D" w:rsidRDefault="008C05A9" w:rsidP="00E9236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:rsidR="00206D2D" w:rsidRDefault="008C05A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206D2D" w:rsidRDefault="008C05A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206D2D" w:rsidRDefault="008C05A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206D2D" w:rsidRDefault="008C05A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</w:t>
      </w:r>
      <w:r w:rsidR="00CE5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(для Лотів 1,2)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06D2D" w:rsidRDefault="00206D2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E9236E" w:rsidRPr="005B5800" w:rsidRDefault="00E9236E" w:rsidP="00E9236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>1.</w:t>
      </w:r>
      <w:r w:rsidRPr="005B5800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1. </w:t>
      </w:r>
      <w:r w:rsidRPr="005B5800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ab/>
      </w:r>
      <w:r w:rsidRPr="005B58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Інформація про наявність документально </w:t>
      </w:r>
      <w:proofErr w:type="gramStart"/>
      <w:r w:rsidRPr="005B58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</w:t>
      </w:r>
      <w:proofErr w:type="gramEnd"/>
      <w:r w:rsidRPr="005B58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ідтвердженого досвіду виконання аналогічного (аналогічних) за предметом закупівлі договору (договорів)</w:t>
      </w:r>
      <w:r w:rsidRPr="005B580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</w:p>
    <w:p w:rsidR="00E9236E" w:rsidRPr="00E9236E" w:rsidRDefault="00E9236E" w:rsidP="00E9236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>1.</w:t>
      </w:r>
      <w:r w:rsidRPr="005B5800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1.1.</w:t>
      </w:r>
      <w:r w:rsidRPr="005B5800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овідк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</w:r>
    </w:p>
    <w:p w:rsidR="00E9236E" w:rsidRPr="005B5800" w:rsidRDefault="00E9236E" w:rsidP="00E9236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 xml:space="preserve">1.1.2.  </w:t>
      </w:r>
      <w:r w:rsidRPr="005B580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Сканкопія/-ї договору/-ів** про виконання аналогічного</w:t>
      </w:r>
      <w:proofErr w:type="gramStart"/>
      <w:r w:rsidRPr="005B580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/-</w:t>
      </w:r>
      <w:proofErr w:type="gramEnd"/>
      <w:r w:rsidRPr="005B580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их* за предметом закупівлі договору/-ів**. </w:t>
      </w:r>
    </w:p>
    <w:p w:rsidR="00E9236E" w:rsidRPr="005B5800" w:rsidRDefault="00E9236E" w:rsidP="00E9236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1.</w:t>
      </w:r>
      <w:r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>3</w:t>
      </w:r>
      <w:r w:rsidRPr="005B5800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.</w:t>
      </w:r>
      <w:r w:rsidRPr="005B5800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ab/>
        <w:t xml:space="preserve">Сканкопія/-ї відгука/-ів </w:t>
      </w:r>
      <w:proofErr w:type="gramStart"/>
      <w:r w:rsidRPr="005B5800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в</w:t>
      </w:r>
      <w:proofErr w:type="gramEnd"/>
      <w:r w:rsidRPr="005B5800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ід підприємства/-в (замовника/-ів), для якого/-их виконувався/-лись аналогічний/-ні* за предметом закупівлі договір/-ори** та/або сканкопії інших документів, які підтверджують виконання договору (частково/повністю). </w:t>
      </w:r>
    </w:p>
    <w:p w:rsidR="00E9236E" w:rsidRPr="005B5800" w:rsidRDefault="00E9236E" w:rsidP="00E9236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58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документах, які зазначені в даному пункті, серед іншого, повинна міститись інформація про </w:t>
      </w:r>
      <w:r w:rsidRPr="005B580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номер</w:t>
      </w:r>
      <w:proofErr w:type="gramStart"/>
      <w:r w:rsidRPr="005B580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/-</w:t>
      </w:r>
      <w:proofErr w:type="gramEnd"/>
      <w:r w:rsidRPr="005B580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и та дату/-и укладання договору/-ів</w:t>
      </w:r>
      <w:r w:rsidRPr="005B58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сканкопія/-ї якого/-их надана/-ні на виконання вимог підпу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нкту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1.</w:t>
      </w:r>
      <w:r w:rsidRPr="005B58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1.1.</w:t>
      </w:r>
    </w:p>
    <w:p w:rsidR="00E9236E" w:rsidRPr="005B5800" w:rsidRDefault="00E9236E" w:rsidP="00E9236E">
      <w:pPr>
        <w:spacing w:after="12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 </w:t>
      </w:r>
      <w:proofErr w:type="gramStart"/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</w:t>
      </w:r>
      <w:proofErr w:type="gramEnd"/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ід аналогічним договором слід розуміти договір на поставку товару, визначеного за показником четвертої цифри основного словника ДК 021:2015 предмета закупівлі, зазначеного в даній тендерній документації та/або товару, який повинен відповідати за видом/номенклатурою товару,  зазначеного в даній тендерній документації.</w:t>
      </w:r>
    </w:p>
    <w:p w:rsidR="00E9236E" w:rsidRPr="005B5800" w:rsidRDefault="00E9236E" w:rsidP="00E9236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** Такий догові</w:t>
      </w:r>
      <w:proofErr w:type="gramStart"/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</w:t>
      </w:r>
      <w:proofErr w:type="gramEnd"/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повинен містити усі додатки, які є невід’ємною частиною договору  (якщо є такі додатки). </w:t>
      </w:r>
    </w:p>
    <w:p w:rsidR="00E9236E" w:rsidRPr="005B5800" w:rsidRDefault="00E9236E" w:rsidP="00E9236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 цьому такий догові</w:t>
      </w:r>
      <w:proofErr w:type="gramStart"/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</w:t>
      </w:r>
      <w:proofErr w:type="gramEnd"/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може надаватися без зазначення: </w:t>
      </w:r>
    </w:p>
    <w:p w:rsidR="00E9236E" w:rsidRPr="005B5800" w:rsidRDefault="00E9236E" w:rsidP="00E9236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- вартісних показників чи інших даних, які можуть бути визначені учасником як комерційна таємниця; </w:t>
      </w:r>
    </w:p>
    <w:p w:rsidR="00E9236E" w:rsidRPr="005B5800" w:rsidRDefault="00E9236E" w:rsidP="00E9236E">
      <w:pPr>
        <w:spacing w:after="12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 персональних даних (</w:t>
      </w:r>
      <w:proofErr w:type="gramStart"/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</w:t>
      </w:r>
      <w:proofErr w:type="gramEnd"/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відповідності до вимог Закону України «Про захист персональних даних»), які можуть бути належним чином заретушовані.</w:t>
      </w:r>
    </w:p>
    <w:p w:rsidR="00E9236E" w:rsidRPr="005B5800" w:rsidRDefault="00E9236E" w:rsidP="00E9236E">
      <w:pPr>
        <w:spacing w:after="12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У разі надання більш ніж однієї сканкопії аналогічного договору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належним виконанням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ідпункту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1.</w:t>
      </w:r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1.2. є надання відгуку та/або сканкопії інших документів хоча б по одному договору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,</w:t>
      </w:r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який надани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й на виконання вимог підпункту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1.</w:t>
      </w:r>
      <w:r w:rsidRPr="005B58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1.1.</w:t>
      </w:r>
    </w:p>
    <w:p w:rsidR="00E9236E" w:rsidRDefault="00E9236E" w:rsidP="00E9236E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p w:rsidR="00E9236E" w:rsidRPr="00E9236E" w:rsidRDefault="00E9236E" w:rsidP="00E9236E">
      <w:pPr>
        <w:spacing w:after="0" w:line="240" w:lineRule="auto"/>
        <w:ind w:left="567" w:firstLine="318"/>
        <w:jc w:val="both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  <w:r w:rsidRPr="00E9236E">
        <w:rPr>
          <w:rFonts w:ascii="Times New Roman" w:eastAsia="Times New Roman" w:hAnsi="Times New Roman" w:cs="Times New Roman"/>
          <w:sz w:val="20"/>
          <w:szCs w:val="20"/>
        </w:rPr>
        <w:t xml:space="preserve">У разі участі об’єднання учасників </w:t>
      </w:r>
      <w:proofErr w:type="gramStart"/>
      <w:r w:rsidRPr="00E9236E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E9236E">
        <w:rPr>
          <w:rFonts w:ascii="Times New Roman" w:eastAsia="Times New Roman" w:hAnsi="Times New Roman" w:cs="Times New Roman"/>
          <w:sz w:val="20"/>
          <w:szCs w:val="20"/>
        </w:rPr>
        <w:t xml:space="preserve"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</w:t>
      </w:r>
      <w:proofErr w:type="gramStart"/>
      <w:r w:rsidRPr="00E9236E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E9236E">
        <w:rPr>
          <w:rFonts w:ascii="Times New Roman" w:eastAsia="Times New Roman" w:hAnsi="Times New Roman" w:cs="Times New Roman"/>
          <w:sz w:val="20"/>
          <w:szCs w:val="20"/>
        </w:rPr>
        <w:t>ідставі наданої об’єднанням інформації.</w:t>
      </w:r>
    </w:p>
    <w:p w:rsidR="00E9236E" w:rsidRPr="00E9236E" w:rsidRDefault="00E9236E" w:rsidP="00E9236E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p w:rsidR="00206D2D" w:rsidRDefault="00206D2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6D2D" w:rsidRDefault="008C05A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  <w:r w:rsidR="00CE55C7" w:rsidRPr="00CE5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E5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(для Лотів 1,2)</w:t>
      </w:r>
    </w:p>
    <w:p w:rsidR="00206D2D" w:rsidRDefault="008C05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206D2D" w:rsidRDefault="008C05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206D2D" w:rsidRDefault="008C05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206D2D" w:rsidRDefault="008C05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206D2D" w:rsidRPr="00563B29" w:rsidRDefault="008C05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63B29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563B29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563B29">
        <w:rPr>
          <w:rFonts w:ascii="Times New Roman" w:eastAsia="Times New Roman" w:hAnsi="Times New Roman" w:cs="Times New Roman"/>
          <w:i/>
          <w:sz w:val="20"/>
          <w:szCs w:val="20"/>
        </w:rPr>
        <w:t xml:space="preserve">ідтвердження учасником відсутності окремих підстав, зазначених у пункті 47 </w:t>
      </w:r>
      <w:r w:rsidRPr="00563B29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206D2D" w:rsidRDefault="00206D2D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206D2D" w:rsidRDefault="008C0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</w:t>
      </w:r>
      <w:r w:rsidR="00CE55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E5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(для Лотів 1,2)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206D2D" w:rsidRDefault="008C05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206D2D" w:rsidRPr="00563B29" w:rsidRDefault="008C05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63B29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206D2D" w:rsidRDefault="00206D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206D2D" w:rsidRDefault="008C05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206D2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206D2D" w:rsidRDefault="00206D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206D2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06D2D" w:rsidRDefault="008C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206D2D" w:rsidRDefault="008C05A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206D2D" w:rsidRDefault="008C05A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206D2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206D2D" w:rsidRDefault="008C05A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206D2D" w:rsidRDefault="0020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206D2D" w:rsidRDefault="008C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206D2D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06D2D" w:rsidRDefault="008C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20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D2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06D2D" w:rsidRDefault="008C0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206D2D" w:rsidRDefault="00206D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06D2D" w:rsidRDefault="008C05A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206D2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206D2D" w:rsidRDefault="00206D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206D2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06D2D" w:rsidRDefault="008C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206D2D" w:rsidRDefault="008C05A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206D2D" w:rsidRDefault="008C05A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206D2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206D2D" w:rsidRDefault="008C0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206D2D" w:rsidRDefault="0020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06D2D" w:rsidRDefault="008C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D2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06D2D" w:rsidRDefault="008C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20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D2D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06D2D" w:rsidRDefault="008C0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206D2D" w:rsidRDefault="0020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6D2D" w:rsidRDefault="008C0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E55C7" w:rsidRPr="00CE5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E5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(для Лотів 1,2)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206D2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6D1B5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B5D" w:rsidRPr="006D1B5D" w:rsidRDefault="006D1B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B5D" w:rsidRDefault="006D1B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4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Копію(ї) документа(ів), що підтверджують повноваження посадової особи або представника учасника процедури закупівлі щодо підпису документів пропозиції (повноваження щодо підпису документів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 повноваження посадової особи учасника на підписання документів).</w:t>
            </w:r>
          </w:p>
        </w:tc>
      </w:tr>
      <w:tr w:rsidR="00206D2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Pr="006D1B5D" w:rsidRDefault="006D1B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D1B5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B5D" w:rsidRDefault="006D1B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B5D" w:rsidRDefault="006D1B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4D7">
              <w:rPr>
                <w:rStyle w:val="afb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Копію паспорту та довідки про присвоєння ідентифікаційного коду/облікової картки фізичної особи-платника податків (для фізичних осіб). Для іноземного учасника - завірений переклад витягу з торгового реєстру, тощо.</w:t>
            </w:r>
          </w:p>
        </w:tc>
      </w:tr>
      <w:tr w:rsidR="006D1B5D" w:rsidTr="006D1B5D">
        <w:trPr>
          <w:trHeight w:val="2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B5D" w:rsidRDefault="006D1B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B5D" w:rsidRPr="004F14D7" w:rsidRDefault="006D1B5D">
            <w:pPr>
              <w:spacing w:after="0" w:line="240" w:lineRule="auto"/>
              <w:ind w:left="100"/>
              <w:jc w:val="both"/>
              <w:rPr>
                <w:rStyle w:val="afb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4F14D7">
              <w:rPr>
                <w:rStyle w:val="afb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Копію статуту (для юридичних осіб)</w:t>
            </w:r>
          </w:p>
        </w:tc>
      </w:tr>
      <w:tr w:rsidR="006D1B5D" w:rsidTr="006D1B5D">
        <w:trPr>
          <w:trHeight w:val="2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B5D" w:rsidRDefault="006D1B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B5D" w:rsidRPr="004F14D7" w:rsidRDefault="006D1B5D">
            <w:pPr>
              <w:spacing w:after="0" w:line="240" w:lineRule="auto"/>
              <w:ind w:left="100"/>
              <w:jc w:val="both"/>
              <w:rPr>
                <w:rStyle w:val="afb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FC15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Сканований оригінал або копія Витягу з Єдиного державного реєстру юридичних осіб фізичних осіб – підприємців та громадських формувань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206D2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Pr="006D1B5D" w:rsidRDefault="006D1B5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206D2D" w:rsidRDefault="008C05A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206D2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Pr="006D1B5D" w:rsidRDefault="006D1B5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D2D" w:rsidRDefault="008C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</w:t>
            </w:r>
            <w:r w:rsidRPr="00563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Білорусь/ </w:t>
            </w:r>
            <w:r w:rsidRPr="00563B29"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 w:rsidRPr="00563B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63B29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06D2D" w:rsidRDefault="008C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206D2D" w:rsidRDefault="00206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06D2D" w:rsidSect="00206D2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9C8"/>
    <w:multiLevelType w:val="multilevel"/>
    <w:tmpl w:val="5B485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8040988"/>
    <w:multiLevelType w:val="multilevel"/>
    <w:tmpl w:val="924C0EC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B400F87"/>
    <w:multiLevelType w:val="multilevel"/>
    <w:tmpl w:val="DB9EC9A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4E5F40"/>
    <w:multiLevelType w:val="multilevel"/>
    <w:tmpl w:val="D6AAE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C9B6A6D"/>
    <w:multiLevelType w:val="multilevel"/>
    <w:tmpl w:val="6B9CB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C0172FF"/>
    <w:multiLevelType w:val="multilevel"/>
    <w:tmpl w:val="DACC6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206D2D"/>
    <w:rsid w:val="00206D2D"/>
    <w:rsid w:val="00224E58"/>
    <w:rsid w:val="00563B29"/>
    <w:rsid w:val="006D1B5D"/>
    <w:rsid w:val="008C05A9"/>
    <w:rsid w:val="00CE55C7"/>
    <w:rsid w:val="00E72CDB"/>
    <w:rsid w:val="00E9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D"/>
  </w:style>
  <w:style w:type="paragraph" w:styleId="1">
    <w:name w:val="heading 1"/>
    <w:basedOn w:val="a"/>
    <w:next w:val="a"/>
    <w:uiPriority w:val="9"/>
    <w:qFormat/>
    <w:rsid w:val="00206D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06D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06D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06D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06D2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06D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6D2D"/>
  </w:style>
  <w:style w:type="table" w:customStyle="1" w:styleId="TableNormal">
    <w:name w:val="Table Normal"/>
    <w:rsid w:val="00206D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06D2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06D2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06D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206D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206D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206D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qFormat/>
    <w:rsid w:val="006D1B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10908</Words>
  <Characters>6218</Characters>
  <Application>Microsoft Office Word</Application>
  <DocSecurity>0</DocSecurity>
  <Lines>51</Lines>
  <Paragraphs>34</Paragraphs>
  <ScaleCrop>false</ScaleCrop>
  <Company/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7</cp:revision>
  <dcterms:created xsi:type="dcterms:W3CDTF">2022-10-24T07:10:00Z</dcterms:created>
  <dcterms:modified xsi:type="dcterms:W3CDTF">2024-03-27T13:40:00Z</dcterms:modified>
</cp:coreProperties>
</file>