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bookmarkStart w:id="1" w:name="_GoBack"/>
      <w:bookmarkEnd w:id="1"/>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1"/>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Документи та</w:t>
            </w:r>
            <w:r>
              <w:rPr>
                <w:rFonts w:ascii="Times New Roman" w:hAnsi="Times New Roman" w:eastAsia="Times New Roman" w:cs="Times New Roman"/>
                <w:b/>
                <w:color w:val="auto"/>
                <w:sz w:val="20"/>
                <w:szCs w:val="20"/>
                <w:highlight w:val="none"/>
                <w:rtl w:val="0"/>
              </w:rPr>
              <w:t xml:space="preserve"> інформація, </w:t>
            </w:r>
            <w:r>
              <w:rPr>
                <w:rFonts w:ascii="Times New Roman" w:hAnsi="Times New Roman" w:eastAsia="Times New Roman" w:cs="Times New Roman"/>
                <w:b/>
                <w:color w:val="000000"/>
                <w:sz w:val="20"/>
                <w:szCs w:val="20"/>
                <w:rtl w:val="0"/>
              </w:rPr>
              <w:t>які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color w:val="auto"/>
                <w:sz w:val="20"/>
                <w:szCs w:val="20"/>
                <w:highlight w:val="none"/>
                <w:lang w:val="uk-UA"/>
              </w:rPr>
            </w:pPr>
            <w:r>
              <w:rPr>
                <w:rFonts w:ascii="Times New Roman" w:hAnsi="Times New Roman" w:eastAsia="Times New Roman" w:cs="Times New Roman"/>
                <w:b/>
                <w:i/>
                <w:color w:val="auto"/>
                <w:sz w:val="20"/>
                <w:szCs w:val="20"/>
                <w:highlight w:val="none"/>
                <w:rtl w:val="0"/>
              </w:rPr>
              <w:t xml:space="preserve">Аналогічним вважається договір </w:t>
            </w:r>
            <w:r>
              <w:rPr>
                <w:rFonts w:ascii="Times New Roman" w:hAnsi="Times New Roman" w:eastAsia="Times New Roman" w:cs="Times New Roman"/>
                <w:b/>
                <w:i/>
                <w:color w:val="auto"/>
                <w:sz w:val="20"/>
                <w:szCs w:val="20"/>
                <w:highlight w:val="none"/>
                <w:rtl w:val="0"/>
                <w:lang w:val="uk-UA"/>
              </w:rPr>
              <w:t>поставки</w:t>
            </w:r>
            <w:r>
              <w:rPr>
                <w:rFonts w:hint="default" w:ascii="Times New Roman" w:hAnsi="Times New Roman" w:eastAsia="Times New Roman" w:cs="Times New Roman"/>
                <w:b/>
                <w:i/>
                <w:color w:val="auto"/>
                <w:sz w:val="20"/>
                <w:szCs w:val="20"/>
                <w:highlight w:val="none"/>
                <w:rtl w:val="0"/>
                <w:lang w:val="uk-UA"/>
              </w:rPr>
              <w:t xml:space="preserve"> моторних олив різних</w:t>
            </w:r>
          </w:p>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.1.2. не менше 1 копії договору, зазначеного в довідці в повному обсязі,</w:t>
            </w:r>
          </w:p>
          <w:p>
            <w:pPr>
              <w:spacing w:after="0" w:line="240" w:lineRule="auto"/>
              <w:jc w:val="both"/>
              <w:rPr>
                <w:rFonts w:hint="default" w:ascii="Times New Roman" w:hAnsi="Times New Roman" w:eastAsia="Times New Roman" w:cs="Times New Roman"/>
                <w:color w:val="auto"/>
                <w:sz w:val="20"/>
                <w:szCs w:val="20"/>
                <w:highlight w:val="none"/>
                <w:lang w:val="uk-UA"/>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.1.3. 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(видаткова накладна чи інший документ).</w:t>
            </w:r>
          </w:p>
          <w:p>
            <w:pPr>
              <w:spacing w:after="0" w:line="240" w:lineRule="auto"/>
              <w:rPr>
                <w:rFonts w:ascii="Times New Roman" w:hAnsi="Times New Roman" w:eastAsia="Times New Roman" w:cs="Times New Roman"/>
                <w:color w:val="auto"/>
                <w:sz w:val="20"/>
                <w:szCs w:val="20"/>
                <w:highlight w:val="none"/>
              </w:rPr>
            </w:pPr>
          </w:p>
          <w:p>
            <w:pPr>
              <w:spacing w:after="0" w:line="240" w:lineRule="auto"/>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i/>
                <w:color w:val="auto"/>
                <w:sz w:val="20"/>
                <w:szCs w:val="20"/>
                <w:highlight w:val="none"/>
                <w:rtl w:val="0"/>
              </w:rPr>
              <w:t>Аналогічний договір</w:t>
            </w:r>
            <w:r>
              <w:rPr>
                <w:rFonts w:hint="default" w:ascii="Times New Roman" w:hAnsi="Times New Roman" w:eastAsia="Times New Roman" w:cs="Times New Roman"/>
                <w:i/>
                <w:color w:val="auto"/>
                <w:sz w:val="20"/>
                <w:szCs w:val="20"/>
                <w:highlight w:val="none"/>
                <w:rtl w:val="0"/>
                <w:lang w:val="uk-UA"/>
              </w:rPr>
              <w:t xml:space="preserve"> </w:t>
            </w:r>
            <w:r>
              <w:rPr>
                <w:rFonts w:ascii="Times New Roman" w:hAnsi="Times New Roman" w:eastAsia="Times New Roman" w:cs="Times New Roman"/>
                <w:i/>
                <w:color w:val="auto"/>
                <w:sz w:val="20"/>
                <w:szCs w:val="20"/>
                <w:highlight w:val="none"/>
                <w:rtl w:val="0"/>
              </w:rPr>
              <w:t>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xml:space="preserve">, тощо до аналогічного договору, які зазначені в ньому як невід’ємні частини договору. </w:t>
            </w:r>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Учасник  повинен надати </w:t>
      </w:r>
      <w:r>
        <w:rPr>
          <w:rFonts w:ascii="Times New Roman" w:hAnsi="Times New Roman" w:eastAsia="Times New Roman" w:cs="Times New Roman"/>
          <w:b/>
          <w:sz w:val="20"/>
          <w:szCs w:val="20"/>
          <w:rtl w:val="0"/>
        </w:rPr>
        <w:t>довідку у довільній формі</w:t>
      </w:r>
      <w:r>
        <w:rPr>
          <w:rFonts w:ascii="Times New Roman" w:hAnsi="Times New Roman" w:eastAsia="Times New Roman" w:cs="Times New Roman"/>
          <w:sz w:val="20"/>
          <w:szCs w:val="20"/>
          <w:rtl w:val="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sz w:val="20"/>
          <w:szCs w:val="20"/>
          <w:highlight w:val="white"/>
          <w:rtl w:val="0"/>
        </w:rPr>
        <w:t xml:space="preserve">47 </w:t>
      </w:r>
      <w:r>
        <w:rPr>
          <w:rFonts w:ascii="Times New Roman" w:hAnsi="Times New Roman" w:eastAsia="Times New Roman" w:cs="Times New Roman"/>
          <w:sz w:val="20"/>
          <w:szCs w:val="20"/>
          <w:rtl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non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3"/>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4"/>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5"/>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color w:val="000000"/>
                <w:sz w:val="20"/>
                <w:szCs w:val="20"/>
                <w:rtl w:val="0"/>
              </w:rPr>
              <w:t xml:space="preserve">підприємців та громадських формувань, а іншою особою, учасник надає </w:t>
            </w:r>
            <w:r>
              <w:rPr>
                <w:rFonts w:ascii="Times New Roman" w:hAnsi="Times New Roman" w:eastAsia="Times New Roman" w:cs="Times New Roman"/>
                <w:b/>
                <w:bCs/>
                <w:color w:val="000000"/>
                <w:sz w:val="20"/>
                <w:szCs w:val="20"/>
                <w:rtl w:val="0"/>
              </w:rPr>
              <w:t>довіреність або доручення на таку особу</w:t>
            </w:r>
            <w:r>
              <w:rPr>
                <w:rFonts w:ascii="Times New Roman" w:hAnsi="Times New Roman" w:eastAsia="Times New Roman" w:cs="Times New Roman"/>
                <w:color w:val="000000"/>
                <w:sz w:val="20"/>
                <w:szCs w:val="20"/>
                <w:rtl w:val="0"/>
              </w:rPr>
              <w:t>.</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rPr>
            </w:pPr>
            <w:r>
              <w:rPr>
                <w:rFonts w:ascii="Times New Roman" w:hAnsi="Times New Roman" w:eastAsia="Times New Roman" w:cs="Times New Roman"/>
                <w:b/>
                <w:color w:val="000000"/>
                <w:sz w:val="20"/>
                <w:szCs w:val="20"/>
                <w:rtl w:val="0"/>
              </w:rPr>
              <w:t xml:space="preserve">Достовірна інформація у вигляді довідки довільної форми, </w:t>
            </w:r>
            <w:r>
              <w:rPr>
                <w:rFonts w:ascii="Times New Roman" w:hAnsi="Times New Roman" w:eastAsia="Times New Roman" w:cs="Times New Roman"/>
                <w:sz w:val="20"/>
                <w:szCs w:val="20"/>
                <w:rtl w:val="0"/>
              </w:rPr>
              <w:t>у</w:t>
            </w:r>
            <w:r>
              <w:rPr>
                <w:rFonts w:ascii="Times New Roman" w:hAnsi="Times New Roman" w:eastAsia="Times New Roman" w:cs="Times New Roman"/>
                <w:color w:val="000000"/>
                <w:sz w:val="20"/>
                <w:szCs w:val="20"/>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color w:val="auto"/>
                <w:highlight w:val="white"/>
                <w:rtl w:val="0"/>
              </w:rPr>
              <w:t>Ісламської Республіки Іран</w:t>
            </w:r>
            <w:r>
              <w:rPr>
                <w:rFonts w:ascii="Times New Roman" w:hAnsi="Times New Roman" w:eastAsia="Times New Roman" w:cs="Times New Roman"/>
                <w:color w:val="auto"/>
                <w:sz w:val="24"/>
                <w:szCs w:val="24"/>
                <w:highlight w:val="white"/>
                <w:rtl w:val="0"/>
              </w:rPr>
              <w:t xml:space="preserve"> </w:t>
            </w:r>
            <w:r>
              <w:rPr>
                <w:rFonts w:ascii="Times New Roman" w:hAnsi="Times New Roman" w:eastAsia="Times New Roman" w:cs="Times New Roman"/>
                <w:color w:val="auto"/>
                <w:sz w:val="20"/>
                <w:szCs w:val="20"/>
                <w:rtl w:val="0"/>
              </w:rPr>
              <w:t>та прожив</w:t>
            </w:r>
            <w:r>
              <w:rPr>
                <w:rFonts w:ascii="Times New Roman" w:hAnsi="Times New Roman" w:eastAsia="Times New Roman" w:cs="Times New Roman"/>
                <w:sz w:val="20"/>
                <w:szCs w:val="20"/>
                <w:rtl w:val="0"/>
              </w:rPr>
              <w:t>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8DE2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26"/>
    <w:basedOn w:val="14"/>
    <w:qFormat/>
    <w:uiPriority w:val="0"/>
    <w:tblPr>
      <w:tblCellMar>
        <w:top w:w="15" w:type="dxa"/>
        <w:left w:w="15" w:type="dxa"/>
        <w:bottom w:w="15" w:type="dxa"/>
        <w:right w:w="15" w:type="dxa"/>
      </w:tblCellMar>
    </w:tblPr>
  </w:style>
  <w:style w:type="table" w:customStyle="1" w:styleId="18">
    <w:name w:val="_Style 27"/>
    <w:basedOn w:val="14"/>
    <w:qFormat/>
    <w:uiPriority w:val="0"/>
    <w:tblPr>
      <w:tblCellMar>
        <w:top w:w="15" w:type="dxa"/>
        <w:left w:w="15" w:type="dxa"/>
        <w:bottom w:w="15" w:type="dxa"/>
        <w:right w:w="15" w:type="dxa"/>
      </w:tblCellMar>
    </w:tblPr>
  </w:style>
  <w:style w:type="table" w:customStyle="1" w:styleId="19">
    <w:name w:val="_Style 28"/>
    <w:basedOn w:val="14"/>
    <w:qFormat/>
    <w:uiPriority w:val="0"/>
    <w:tblPr>
      <w:tblCellMar>
        <w:top w:w="15" w:type="dxa"/>
        <w:left w:w="15" w:type="dxa"/>
        <w:bottom w:w="15" w:type="dxa"/>
        <w:right w:w="15" w:type="dxa"/>
      </w:tblCellMar>
    </w:tblPr>
  </w:style>
  <w:style w:type="table" w:customStyle="1" w:styleId="20">
    <w:name w:val="_Style 29"/>
    <w:basedOn w:val="14"/>
    <w:qFormat/>
    <w:uiPriority w:val="0"/>
    <w:tblPr>
      <w:tblCellMar>
        <w:top w:w="15" w:type="dxa"/>
        <w:left w:w="15" w:type="dxa"/>
        <w:bottom w:w="15" w:type="dxa"/>
        <w:right w:w="15" w:type="dxa"/>
      </w:tblCellMar>
    </w:tblPr>
  </w:style>
  <w:style w:type="table" w:customStyle="1" w:styleId="21">
    <w:name w:val="_Style 30"/>
    <w:basedOn w:val="14"/>
    <w:qFormat/>
    <w:uiPriority w:val="0"/>
    <w:tblPr>
      <w:tblCellMar>
        <w:top w:w="15" w:type="dxa"/>
        <w:left w:w="15" w:type="dxa"/>
        <w:bottom w:w="15" w:type="dxa"/>
        <w:right w:w="15" w:type="dxa"/>
      </w:tblCellMar>
    </w:tblPr>
  </w:style>
  <w:style w:type="table" w:customStyle="1" w:styleId="22">
    <w:name w:val="_Style 31"/>
    <w:basedOn w:val="14"/>
    <w:qFormat/>
    <w:uiPriority w:val="0"/>
    <w:tblPr>
      <w:tblCellMar>
        <w:top w:w="15" w:type="dxa"/>
        <w:left w:w="15" w:type="dxa"/>
        <w:bottom w:w="15" w:type="dxa"/>
        <w:right w:w="15" w:type="dxa"/>
      </w:tblCellMar>
    </w:tblPr>
  </w:style>
  <w:style w:type="table" w:customStyle="1" w:styleId="23">
    <w:name w:val="_Style 32"/>
    <w:basedOn w:val="14"/>
    <w:qFormat/>
    <w:uiPriority w:val="0"/>
    <w:tblPr>
      <w:tblCellMar>
        <w:top w:w="15" w:type="dxa"/>
        <w:left w:w="15" w:type="dxa"/>
        <w:bottom w:w="15" w:type="dxa"/>
        <w:right w:w="15" w:type="dxa"/>
      </w:tblCellMar>
    </w:tblPr>
  </w:style>
  <w:style w:type="paragraph" w:customStyle="1" w:styleId="24">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35"/>
    <w:basedOn w:val="14"/>
    <w:qFormat/>
    <w:uiPriority w:val="0"/>
    <w:tblPr>
      <w:tblCellMar>
        <w:top w:w="15" w:type="dxa"/>
        <w:left w:w="15" w:type="dxa"/>
        <w:bottom w:w="15" w:type="dxa"/>
        <w:right w:w="15" w:type="dxa"/>
      </w:tblCellMar>
    </w:tblPr>
  </w:style>
  <w:style w:type="table" w:customStyle="1" w:styleId="27">
    <w:name w:val="_Style 36"/>
    <w:basedOn w:val="14"/>
    <w:qFormat/>
    <w:uiPriority w:val="0"/>
    <w:tblPr>
      <w:tblCellMar>
        <w:top w:w="15" w:type="dxa"/>
        <w:left w:w="15" w:type="dxa"/>
        <w:bottom w:w="15" w:type="dxa"/>
        <w:right w:w="15" w:type="dxa"/>
      </w:tblCellMar>
    </w:tblPr>
  </w:style>
  <w:style w:type="table" w:customStyle="1" w:styleId="28">
    <w:name w:val="_Style 37"/>
    <w:basedOn w:val="14"/>
    <w:qFormat/>
    <w:uiPriority w:val="0"/>
    <w:tblPr>
      <w:tblCellMar>
        <w:top w:w="15" w:type="dxa"/>
        <w:left w:w="15" w:type="dxa"/>
        <w:bottom w:w="15" w:type="dxa"/>
        <w:right w:w="15" w:type="dxa"/>
      </w:tblCellMar>
    </w:tblPr>
  </w:style>
  <w:style w:type="table" w:customStyle="1" w:styleId="29">
    <w:name w:val="_Style 38"/>
    <w:basedOn w:val="14"/>
    <w:qFormat/>
    <w:uiPriority w:val="0"/>
    <w:tblPr>
      <w:tblCellMar>
        <w:top w:w="15" w:type="dxa"/>
        <w:left w:w="15" w:type="dxa"/>
        <w:bottom w:w="15" w:type="dxa"/>
        <w:right w:w="15" w:type="dxa"/>
      </w:tblCellMar>
    </w:tblPr>
  </w:style>
  <w:style w:type="table" w:customStyle="1" w:styleId="30">
    <w:name w:val="_Style 39"/>
    <w:basedOn w:val="14"/>
    <w:qFormat/>
    <w:uiPriority w:val="0"/>
    <w:tblPr>
      <w:tblCellMar>
        <w:top w:w="15" w:type="dxa"/>
        <w:left w:w="15" w:type="dxa"/>
        <w:bottom w:w="15" w:type="dxa"/>
        <w:right w:w="15" w:type="dxa"/>
      </w:tblCellMar>
    </w:tblPr>
  </w:style>
  <w:style w:type="table" w:customStyle="1" w:styleId="31">
    <w:name w:val="_Style 41"/>
    <w:basedOn w:val="14"/>
    <w:qFormat/>
    <w:uiPriority w:val="0"/>
    <w:tblPr>
      <w:tblCellMar>
        <w:top w:w="15" w:type="dxa"/>
        <w:left w:w="15" w:type="dxa"/>
        <w:bottom w:w="15" w:type="dxa"/>
        <w:right w:w="15" w:type="dxa"/>
      </w:tblCellMar>
    </w:tblPr>
  </w:style>
  <w:style w:type="table" w:customStyle="1" w:styleId="32">
    <w:name w:val="_Style 42"/>
    <w:basedOn w:val="14"/>
    <w:qFormat/>
    <w:uiPriority w:val="0"/>
    <w:tblPr>
      <w:tblCellMar>
        <w:top w:w="15" w:type="dxa"/>
        <w:left w:w="15" w:type="dxa"/>
        <w:bottom w:w="15" w:type="dxa"/>
        <w:right w:w="15" w:type="dxa"/>
      </w:tblCellMar>
    </w:tblPr>
  </w:style>
  <w:style w:type="table" w:customStyle="1" w:styleId="33">
    <w:name w:val="_Style 43"/>
    <w:basedOn w:val="14"/>
    <w:qFormat/>
    <w:uiPriority w:val="0"/>
    <w:tblPr>
      <w:tblCellMar>
        <w:top w:w="15" w:type="dxa"/>
        <w:left w:w="15" w:type="dxa"/>
        <w:bottom w:w="15" w:type="dxa"/>
        <w:right w:w="15" w:type="dxa"/>
      </w:tblCellMar>
    </w:tblPr>
  </w:style>
  <w:style w:type="table" w:customStyle="1" w:styleId="34">
    <w:name w:val="_Style 44"/>
    <w:basedOn w:val="14"/>
    <w:qFormat/>
    <w:uiPriority w:val="0"/>
    <w:tblPr>
      <w:tblCellMar>
        <w:top w:w="15" w:type="dxa"/>
        <w:left w:w="15" w:type="dxa"/>
        <w:bottom w:w="15" w:type="dxa"/>
        <w:right w:w="15" w:type="dxa"/>
      </w:tblCellMar>
    </w:tblPr>
  </w:style>
  <w:style w:type="table" w:customStyle="1" w:styleId="35">
    <w:name w:val="_Style 45"/>
    <w:basedOn w:val="14"/>
    <w:qFormat/>
    <w:uiPriority w:val="0"/>
    <w:tblPr>
      <w:tblCellMar>
        <w:top w:w="15" w:type="dxa"/>
        <w:left w:w="15" w:type="dxa"/>
        <w:bottom w:w="15" w:type="dxa"/>
        <w:right w:w="15" w:type="dxa"/>
      </w:tblCellMar>
    </w:tblPr>
  </w:style>
  <w:style w:type="table" w:customStyle="1" w:styleId="36">
    <w:name w:val="_Style 46"/>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2024-03-28T13:15:21Z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8270D3B2163C485A97267B3FA61D387C_12</vt:lpwstr>
  </property>
</Properties>
</file>