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spacing w:before="240" w:after="0" w:line="36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bookmarkStart w:id="0" w:name="_Hlk162475940"/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Олива моторна для карбюраторних двигунів, олива моторна для дизельних двигунів, олива трансмісійна, олива для двотактних двигунів, олива гідравлічна </w:t>
      </w:r>
      <w:bookmarkEnd w:id="0"/>
    </w:p>
    <w:p>
      <w:pPr>
        <w:spacing w:before="240" w:after="0" w:line="360" w:lineRule="auto"/>
        <w:jc w:val="center"/>
        <w:rPr>
          <w:rFonts w:hint="default"/>
          <w:lang w:val="uk-UA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за ДК 021:2015 “Єдиний закупівельний словник” – 09210000-4 Мастильні засоби</w:t>
      </w:r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240" w:lineRule="auto"/>
        <w:ind w:right="350" w:rightChars="159" w:firstLine="240" w:firstLineChars="10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spacing w:after="0" w:line="240" w:lineRule="auto"/>
        <w:ind w:left="220" w:leftChars="100" w:right="350" w:rightChars="159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sz w:val="24"/>
          <w:szCs w:val="24"/>
          <w:lang w:val="uk-UA"/>
        </w:rPr>
        <w:t>поставку</w:t>
      </w:r>
      <w:r>
        <w:rPr>
          <w:rFonts w:hint="default"/>
          <w:sz w:val="24"/>
          <w:szCs w:val="24"/>
          <w:lang w:val="uk-UA"/>
        </w:rPr>
        <w:t xml:space="preserve"> за предметом закупівлі </w:t>
      </w:r>
      <w:r>
        <w:rPr>
          <w:rFonts w:ascii="Times New Roman" w:hAnsi="Times New Roman" w:eastAsia="Times New Roman"/>
          <w:b/>
          <w:bCs/>
          <w:i/>
          <w:iCs/>
          <w:sz w:val="24"/>
          <w:szCs w:val="24"/>
        </w:rPr>
        <w:t>Олива моторна для карбюраторних двигунів, олива моторна для дизельних двигунів, олива трансмісійна, олива для двотактних двигунів, олива гідравлічна</w:t>
      </w:r>
      <w:r>
        <w:rPr>
          <w:rFonts w:hint="default"/>
          <w:b/>
          <w:bCs/>
          <w:i/>
          <w:iCs/>
          <w:sz w:val="24"/>
          <w:szCs w:val="24"/>
          <w:lang w:val="uk-UA"/>
        </w:rPr>
        <w:t xml:space="preserve"> за ДК 021:2015 “Єдиний закупівельний словник” - 09210000-4 Мастильні засоби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560"/>
          <w:tab w:val="left" w:pos="9776"/>
        </w:tabs>
        <w:spacing w:before="3" w:after="0" w:line="240" w:lineRule="auto"/>
        <w:ind w:left="560" w:right="350" w:rightChars="159" w:hanging="244"/>
        <w:jc w:val="both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782"/>
        </w:tabs>
        <w:spacing w:before="0" w:after="0" w:line="240" w:lineRule="auto"/>
        <w:ind w:left="560" w:right="350" w:rightChars="159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</w:p>
    <w:p>
      <w:pPr>
        <w:pStyle w:val="6"/>
        <w:numPr>
          <w:ilvl w:val="0"/>
          <w:numId w:val="1"/>
        </w:numPr>
        <w:tabs>
          <w:tab w:val="left" w:pos="627"/>
          <w:tab w:val="left" w:pos="9410"/>
        </w:tabs>
        <w:spacing w:before="6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2"/>
          <w:tab w:val="left" w:pos="3841"/>
        </w:tabs>
        <w:spacing w:before="3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Учасника, який є платником податку на додану вартість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260"/>
        </w:tabs>
        <w:spacing w:before="0" w:after="0" w:line="240" w:lineRule="auto"/>
        <w:ind w:left="560" w:right="350" w:rightChars="159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3"/>
          <w:tab w:val="left" w:pos="8812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документи цінової пропозиції учасника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680" w:right="350" w:rightChars="159" w:hanging="364"/>
        <w:jc w:val="both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680" w:right="350" w:rightChars="159" w:hanging="364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</w:t>
      </w:r>
      <w:r>
        <w:rPr>
          <w:rFonts w:hint="default"/>
          <w:sz w:val="24"/>
          <w:szCs w:val="24"/>
          <w:highlight w:val="none"/>
          <w:lang w:val="uk-UA"/>
        </w:rPr>
        <w:t>5</w:t>
      </w:r>
      <w:r>
        <w:rPr>
          <w:sz w:val="24"/>
          <w:szCs w:val="24"/>
          <w:highlight w:val="none"/>
        </w:rPr>
        <w:t>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699"/>
          <w:tab w:val="left" w:pos="1790"/>
          <w:tab w:val="left" w:pos="2366"/>
          <w:tab w:val="left" w:pos="4107"/>
          <w:tab w:val="left" w:pos="5574"/>
          <w:tab w:val="left" w:pos="6868"/>
          <w:tab w:val="left" w:pos="8082"/>
          <w:tab w:val="left" w:pos="8830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</w:t>
      </w:r>
      <w:r>
        <w:rPr>
          <w:spacing w:val="-2"/>
          <w:sz w:val="24"/>
          <w:szCs w:val="24"/>
        </w:rPr>
        <w:t>документи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процедури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закупівлі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(договір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закупівлю)</w:t>
      </w:r>
    </w:p>
    <w:p>
      <w:pPr>
        <w:pStyle w:val="5"/>
        <w:spacing w:before="20" w:line="240" w:lineRule="auto"/>
        <w:ind w:right="350" w:rightChars="159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0.8pt;margin-top:13.7pt;height:0.1pt;width:462.2pt;mso-position-horizontal-relative:page;mso-wrap-distance-bottom:0pt;mso-wrap-distance-top:0pt;z-index:-251656192;mso-width-relative:page;mso-height-relative:page;" filled="f" stroked="t" coordsize="5869940,1" o:gfxdata="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H8nJ2AAAAAoBAAAPAAAA&#10;AAAAAAEAIAAAACIAAABkcnMvZG93bnJldi54bWxQSwECFAAUAAAACACHTuJANVVMUxUCAAB8BAAA&#10;DgAAAAAAAAABACAAAAAnAQAAZHJzL2Uyb0RvYy54bWxQSwUGAAAAAAYABgBZAQAArgUAAAAA&#10;" path="m0,0l586950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316" w:right="350" w:rightChars="159" w:firstLine="0"/>
        <w:jc w:val="both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jc w:val="left"/>
        <w:rPr>
          <w:sz w:val="24"/>
        </w:rPr>
      </w:pP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940" w:right="34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tbl>
      <w:tblPr>
        <w:tblStyle w:val="4"/>
        <w:tblW w:w="9634" w:type="dxa"/>
        <w:tblInd w:w="31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5"/>
        <w:gridCol w:w="1067"/>
        <w:gridCol w:w="706"/>
        <w:gridCol w:w="1072"/>
        <w:gridCol w:w="1083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1" w:type="dxa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spacing w:before="25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20" w:right="159" w:firstLine="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85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/>
              <w:ind w:left="0" w:leftChars="0" w:right="134" w:rightChars="61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067" w:type="dxa"/>
            <w:textDirection w:val="btLr"/>
            <w:vAlign w:val="top"/>
          </w:tcPr>
          <w:p>
            <w:pPr>
              <w:pStyle w:val="7"/>
              <w:spacing w:before="230"/>
              <w:ind w:left="1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виміру</w:t>
            </w:r>
          </w:p>
        </w:tc>
        <w:tc>
          <w:tcPr>
            <w:tcW w:w="706" w:type="dxa"/>
            <w:textDirection w:val="btLr"/>
            <w:vAlign w:val="top"/>
          </w:tcPr>
          <w:p>
            <w:pPr>
              <w:pStyle w:val="7"/>
              <w:spacing w:before="230"/>
              <w:ind w:left="69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072" w:type="dxa"/>
            <w:textDirection w:val="btLr"/>
            <w:vAlign w:val="top"/>
          </w:tcPr>
          <w:p>
            <w:pPr>
              <w:pStyle w:val="7"/>
              <w:spacing w:before="76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 ПДВ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грн.</w:t>
            </w:r>
          </w:p>
        </w:tc>
        <w:tc>
          <w:tcPr>
            <w:tcW w:w="1083" w:type="dxa"/>
            <w:textDirection w:val="btLr"/>
            <w:vAlign w:val="top"/>
          </w:tcPr>
          <w:p>
            <w:pPr>
              <w:pStyle w:val="7"/>
              <w:spacing w:before="23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44" w:lineRule="exact"/>
              <w:ind w:left="0" w:right="9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>
            <w:pPr>
              <w:pStyle w:val="7"/>
              <w:spacing w:line="244" w:lineRule="exact"/>
              <w:ind w:left="72" w:right="9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</w:tcPr>
          <w:p>
            <w:pPr>
              <w:pStyle w:val="7"/>
              <w:spacing w:line="244" w:lineRule="exact"/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2" w:type="dxa"/>
          </w:tcPr>
          <w:p>
            <w:pPr>
              <w:pStyle w:val="7"/>
              <w:spacing w:line="244" w:lineRule="exact"/>
              <w:ind w:left="0" w:right="3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3" w:type="dxa"/>
          </w:tcPr>
          <w:p>
            <w:pPr>
              <w:pStyle w:val="7"/>
              <w:spacing w:line="244" w:lineRule="exact"/>
              <w:ind w:left="2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lang w:val="uk-UA"/>
              </w:rPr>
              <w:t>..........................................................................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0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pacing w:val="-8"/>
                <w:sz w:val="24"/>
                <w:szCs w:val="24"/>
                <w:lang w:val="uk-UA"/>
              </w:rPr>
              <w:t>в тому числі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9"/>
                <w:sz w:val="24"/>
                <w:szCs w:val="24"/>
                <w:lang w:val="uk-UA"/>
              </w:rPr>
              <w:t>бе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1"/>
      </w:pPr>
    </w:p>
    <w:p>
      <w:pPr>
        <w:numPr>
          <w:ilvl w:val="0"/>
          <w:numId w:val="1"/>
        </w:numPr>
        <w:spacing w:after="0" w:line="240" w:lineRule="auto"/>
        <w:ind w:left="316" w:leftChars="0" w:right="0" w:rightChars="0" w:firstLine="343" w:firstLineChars="143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Ціна </w:t>
      </w:r>
      <w:r>
        <w:rPr>
          <w:rFonts w:hint="default" w:cs="Times New Roman"/>
          <w:color w:val="000000"/>
          <w:sz w:val="24"/>
          <w:szCs w:val="24"/>
          <w:rtl w:val="0"/>
          <w:lang w:val="uk-UA"/>
        </w:rPr>
        <w:t>товару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здійснення вантажно-розвантажувальних послуг при поставці Товару;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</w:rPr>
        <w:t>занос Товару в приміщення; перевірку комплектності, цілісності та відсутності пошкоджень у присутності представників Замовника.</w:t>
      </w: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240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lang w:val="uk-UA"/>
        </w:rPr>
        <w:t>тендерної</w:t>
      </w:r>
      <w:r>
        <w:rPr>
          <w:rFonts w:hint="default"/>
          <w:sz w:val="24"/>
          <w:lang w:val="uk-UA"/>
        </w:rPr>
        <w:t xml:space="preserve"> д</w:t>
      </w:r>
      <w:r>
        <w:rPr>
          <w:sz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lang w:val="uk-UA"/>
        </w:rPr>
        <w:t>С</w:t>
      </w:r>
      <w:r>
        <w:rPr>
          <w:sz w:val="24"/>
        </w:rPr>
        <w:t xml:space="preserve">торонами у повному обсязі, крім випадків, визначених </w:t>
      </w:r>
      <w:r>
        <w:rPr>
          <w:sz w:val="24"/>
          <w:lang w:val="uk-UA"/>
        </w:rPr>
        <w:t>пунктом</w:t>
      </w:r>
      <w:r>
        <w:rPr>
          <w:rFonts w:hint="default"/>
          <w:sz w:val="24"/>
          <w:lang w:val="uk-UA"/>
        </w:rPr>
        <w:t xml:space="preserve"> 19 Особливостей</w:t>
      </w:r>
      <w:r>
        <w:rPr>
          <w:spacing w:val="-2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242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lang w:val="uk-UA"/>
        </w:rPr>
        <w:t xml:space="preserve"> (ста двадцяти)</w:t>
      </w:r>
      <w:r>
        <w:rPr>
          <w:sz w:val="24"/>
        </w:rPr>
        <w:t xml:space="preserve"> днів з дня розкриття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пропозицій.</w:t>
      </w:r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240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>Якщо за результатами розгляду та оцінки нашої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>
      <w:pPr>
        <w:pStyle w:val="5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</w:pPr>
    </w:p>
    <w:p>
      <w:pPr>
        <w:pStyle w:val="5"/>
        <w:ind w:left="316" w:right="500" w:firstLine="542"/>
        <w:jc w:val="both"/>
      </w:pP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rtl w:val="0"/>
          <w:lang w:val="uk-UA"/>
        </w:rPr>
        <w:t>Ціна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товару повинна бути зазначена за нульовою ставковою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податку на додану вартість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відповідно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до підпункту “г” підпункту 195.1.2 пункту 195.1 статті 195 розділу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/>
        </w:rPr>
        <w:t xml:space="preserve">V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>Податкового Кодексу України та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Постанови КМУ від 02.03.2022 № 178 «Деякі питання обкладання податком на додану вартість за нульовою ставкою у період воєнного стану».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pStyle w:val="5"/>
        <w:ind w:left="316" w:right="500" w:firstLine="542"/>
        <w:jc w:val="both"/>
        <w:sectPr>
          <w:pgSz w:w="11910" w:h="16840"/>
          <w:pgMar w:top="520" w:right="910" w:bottom="1140" w:left="1100" w:header="0" w:footer="901" w:gutter="0"/>
          <w:cols w:space="720" w:num="1"/>
        </w:sectPr>
      </w:pPr>
      <w:r>
        <w:t xml:space="preserve"> </w:t>
      </w:r>
      <w:bookmarkStart w:id="1" w:name="_GoBack"/>
      <w:bookmarkEnd w:id="1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02F6"/>
    <w:rsid w:val="1F693A18"/>
    <w:rsid w:val="245109A3"/>
    <w:rsid w:val="25523035"/>
    <w:rsid w:val="3FFF72E9"/>
    <w:rsid w:val="46C0371D"/>
    <w:rsid w:val="59795412"/>
    <w:rsid w:val="59F05A80"/>
    <w:rsid w:val="6497425F"/>
    <w:rsid w:val="65B640C9"/>
    <w:rsid w:val="77D32AF4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2024-03-28T13:21:59Z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