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1D7" w14:textId="728C08FC" w:rsidR="00887826" w:rsidRPr="00887826" w:rsidRDefault="00D157A9" w:rsidP="00887826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878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</w:p>
    <w:p w14:paraId="471E54B7" w14:textId="4C27FBF2" w:rsidR="00887826" w:rsidRPr="00887826" w:rsidRDefault="00D157A9" w:rsidP="0088782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157A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</w:t>
      </w:r>
      <w:r w:rsidR="00887826" w:rsidRPr="0088782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 тендерної документації</w:t>
      </w:r>
    </w:p>
    <w:p w14:paraId="71A4C1A0" w14:textId="77777777" w:rsidR="00887826" w:rsidRPr="00887826" w:rsidRDefault="00887826" w:rsidP="00887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A50C76" w14:textId="77777777" w:rsidR="00887826" w:rsidRPr="00887826" w:rsidRDefault="00887826" w:rsidP="0088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  <w:r w:rsidRPr="00887826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  <w:t>Технічні вимоги</w:t>
      </w:r>
    </w:p>
    <w:p w14:paraId="4EDBF617" w14:textId="77777777" w:rsidR="00887826" w:rsidRPr="00887826" w:rsidRDefault="00887826" w:rsidP="0088782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lang w:eastAsia="zh-CN"/>
          <w14:ligatures w14:val="none"/>
        </w:rPr>
      </w:pPr>
    </w:p>
    <w:p w14:paraId="677CA76C" w14:textId="77777777" w:rsidR="00887826" w:rsidRPr="00887826" w:rsidRDefault="00887826" w:rsidP="00887826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ІНФОРМАЦІЯ ПРО НЕОБХІДНІ ТЕХНІЧНІ, ЯКІСНІ ТА КІЛЬКІСНІ  ХАРАКТЕРИСТИКИ ПРЕДМЕТА ЗАКУПІВЛІ </w:t>
      </w:r>
    </w:p>
    <w:p w14:paraId="342FB69F" w14:textId="77777777" w:rsidR="00887826" w:rsidRPr="00887826" w:rsidRDefault="00887826" w:rsidP="00887826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57DCA2E" w14:textId="5D086705" w:rsidR="00887826" w:rsidRPr="00887826" w:rsidRDefault="00D157A9" w:rsidP="00887826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</w:pPr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Ліцензії FORTINET FortiGate-600E 1YR </w:t>
      </w:r>
      <w:proofErr w:type="spellStart"/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Enterprise</w:t>
      </w:r>
      <w:proofErr w:type="spellEnd"/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Protection</w:t>
      </w:r>
      <w:proofErr w:type="spellEnd"/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57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Licence</w:t>
      </w:r>
      <w:proofErr w:type="spellEnd"/>
      <w:r w:rsidR="00887826" w:rsidRPr="008878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36797E4E" w14:textId="77777777" w:rsidR="00D157A9" w:rsidRDefault="00D157A9" w:rsidP="00D157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157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 кодом ДК 021:2015 - 48210000-3 Пакети мережевого програмного забезпечення </w:t>
      </w:r>
    </w:p>
    <w:p w14:paraId="60A9510F" w14:textId="0634E673" w:rsidR="00D157A9" w:rsidRPr="00D157A9" w:rsidRDefault="00D157A9" w:rsidP="00D157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157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(48214000-1 Пакети програмного забезпечення для мережевих операційних систем)</w:t>
      </w:r>
    </w:p>
    <w:p w14:paraId="21F691C2" w14:textId="77777777" w:rsidR="00887826" w:rsidRPr="00887826" w:rsidRDefault="00887826" w:rsidP="008878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42816B" w14:textId="77777777" w:rsidR="00887826" w:rsidRPr="00887826" w:rsidRDefault="00887826" w:rsidP="0088782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Мета закупівлі</w:t>
      </w:r>
    </w:p>
    <w:p w14:paraId="116B935B" w14:textId="77777777" w:rsidR="00887826" w:rsidRPr="00887826" w:rsidRDefault="00887826" w:rsidP="008878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Забезпечення захисту від </w:t>
      </w:r>
      <w:proofErr w:type="spellStart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кіберзагроз</w:t>
      </w:r>
      <w:proofErr w:type="spellEnd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, </w:t>
      </w:r>
      <w:proofErr w:type="spellStart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експлойтів</w:t>
      </w:r>
      <w:proofErr w:type="spellEnd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, шкідливого програмного забезпечення та шкідливих веб-сайтів при доступі в Інтернет з мережі Національної ради.</w:t>
      </w:r>
    </w:p>
    <w:p w14:paraId="6700C759" w14:textId="77777777" w:rsidR="00887826" w:rsidRPr="00887826" w:rsidRDefault="00887826" w:rsidP="008878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23EC9180" w14:textId="77777777" w:rsidR="00887826" w:rsidRPr="00887826" w:rsidRDefault="00887826" w:rsidP="0088782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Проблема, яка буде розв'язана в результаті закупівлі</w:t>
      </w:r>
    </w:p>
    <w:p w14:paraId="4596B21E" w14:textId="77777777" w:rsidR="00887826" w:rsidRPr="00887826" w:rsidRDefault="00887826" w:rsidP="0088782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Програмне забезпечення мережевого екрану поставляється за моделлю періодичного ліцензування. Термін дії ліцензій, поставлених при закупівлі мережевого екрану закінчився. Після закінчення терміну дії ліцензій мережевий екран не отримує оновлень сигнатур антивірусу, </w:t>
      </w:r>
      <w:proofErr w:type="spellStart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атиспаму</w:t>
      </w:r>
      <w:proofErr w:type="spellEnd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, веб- та ДНС-фільтрів, IPS та </w:t>
      </w:r>
      <w:proofErr w:type="spellStart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Application</w:t>
      </w:r>
      <w:proofErr w:type="spellEnd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Control</w:t>
      </w:r>
      <w:proofErr w:type="spellEnd"/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. Відсутність оновлень сигнатур є критичною і значно підвищує ризики безпеки локальної інформаційно-комунікаційної системи.</w:t>
      </w:r>
    </w:p>
    <w:p w14:paraId="413C01D7" w14:textId="77777777" w:rsidR="00887826" w:rsidRPr="00887826" w:rsidRDefault="00887826" w:rsidP="00887826">
      <w:pPr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/>
          <w14:ligatures w14:val="none"/>
        </w:rPr>
        <w:t>Закупівля ліцензій забезпечить працездатності всіх функцій мережевого екрану та відповідний захист від загроз.</w:t>
      </w:r>
    </w:p>
    <w:p w14:paraId="361F5FE3" w14:textId="77777777" w:rsidR="00887826" w:rsidRPr="00887826" w:rsidRDefault="00887826" w:rsidP="0088782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Детальний специфікація предмету закупівлі</w:t>
      </w:r>
    </w:p>
    <w:p w14:paraId="6CAE4594" w14:textId="77777777" w:rsidR="00887826" w:rsidRPr="00887826" w:rsidRDefault="00887826" w:rsidP="0088782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18984540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Ліцензії FORTINET FortiGate-600E 1YR </w:t>
      </w:r>
      <w:proofErr w:type="spellStart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Enterprise</w:t>
      </w:r>
      <w:proofErr w:type="spellEnd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Protection</w:t>
      </w:r>
      <w:proofErr w:type="spellEnd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License</w:t>
      </w:r>
      <w:proofErr w:type="spellEnd"/>
      <w:r w:rsidRPr="008878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4B02EDB" w14:textId="77777777" w:rsidR="00887826" w:rsidRPr="00887826" w:rsidRDefault="00887826" w:rsidP="0088782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88782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>Програмне забезпечення, на яке розповсюджуються ліцензії, має бути сумісне з  мережевим екраном FortiGate-600Е та надавати доступ до функцій, опис яких доступний за посиланням на сайті виробника:</w:t>
      </w:r>
    </w:p>
    <w:p w14:paraId="26027D93" w14:textId="77777777" w:rsidR="00887826" w:rsidRPr="00887826" w:rsidRDefault="00887826" w:rsidP="00887826">
      <w:pPr>
        <w:tabs>
          <w:tab w:val="left" w:pos="3686"/>
        </w:tabs>
        <w:suppressAutoHyphens/>
        <w:autoSpaceDN w:val="0"/>
        <w:spacing w:after="0" w:line="240" w:lineRule="auto"/>
        <w:ind w:left="283"/>
        <w:jc w:val="both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</w:pPr>
      <w:hyperlink r:id="rId5" w:history="1">
        <w:r w:rsidRPr="00887826">
          <w:rPr>
            <w:rFonts w:ascii="Times New Roman" w:eastAsia="SimSun" w:hAnsi="Times New Roman" w:cs="Times New Roman"/>
            <w:bCs/>
            <w:color w:val="0000FF"/>
            <w:kern w:val="3"/>
            <w:sz w:val="24"/>
            <w:szCs w:val="24"/>
            <w:u w:val="single"/>
            <w:lang w:eastAsia="ar-SA"/>
            <w14:ligatures w14:val="none"/>
          </w:rPr>
          <w:t>https://www.fortinet.com/content/dam/fortinet/assets/data-sheets/FortiGate_600E.pdf</w:t>
        </w:r>
      </w:hyperlink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>.</w:t>
      </w:r>
    </w:p>
    <w:p w14:paraId="1023BAB9" w14:textId="77777777" w:rsidR="00887826" w:rsidRPr="00887826" w:rsidRDefault="00887826" w:rsidP="0088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887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Програмне забезпечення, ліцензії на яке плануються учасником до постачання Замовнику, повинно бути сучасних версій і на момент поставки випускатися виробником програмного забезпечення.</w:t>
      </w:r>
    </w:p>
    <w:p w14:paraId="4CBE7FEA" w14:textId="77777777" w:rsidR="00887826" w:rsidRPr="00887826" w:rsidRDefault="00887826" w:rsidP="00887826">
      <w:pPr>
        <w:tabs>
          <w:tab w:val="left" w:pos="3686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</w:pPr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>Учасник забезпечує контроль якості товару, що постачається. Неякісний товар (з вини постачальника) підлягає обміну (протягом 14-ти календарних днів).</w:t>
      </w:r>
    </w:p>
    <w:p w14:paraId="433E24A0" w14:textId="77777777" w:rsidR="00887826" w:rsidRPr="00887826" w:rsidRDefault="00887826" w:rsidP="00887826">
      <w:pPr>
        <w:tabs>
          <w:tab w:val="left" w:pos="3686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</w:pPr>
    </w:p>
    <w:bookmarkEnd w:id="0"/>
    <w:p w14:paraId="420FE830" w14:textId="77777777" w:rsidR="00887826" w:rsidRPr="00887826" w:rsidRDefault="00887826" w:rsidP="0088782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88782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Строки виконання: </w:t>
      </w:r>
    </w:p>
    <w:p w14:paraId="774B6003" w14:textId="7D717564" w:rsidR="00887826" w:rsidRDefault="00887826" w:rsidP="008878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</w:pPr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не більше </w:t>
      </w:r>
      <w:r w:rsidRPr="00887826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  <w14:ligatures w14:val="none"/>
        </w:rPr>
        <w:t>30 календарних днів</w:t>
      </w:r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з дати укладання угоди, але не пізніше 21 грудня 202</w:t>
      </w:r>
      <w:r w:rsidR="00D157A9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>3</w:t>
      </w:r>
      <w:r w:rsidRPr="00887826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року</w:t>
      </w:r>
      <w:r w:rsidR="005A004B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/>
          <w14:ligatures w14:val="none"/>
        </w:rPr>
        <w:t>.</w:t>
      </w:r>
    </w:p>
    <w:p w14:paraId="4F8AE17C" w14:textId="77777777" w:rsidR="005A004B" w:rsidRDefault="005A004B" w:rsidP="005A004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6558A" w14:textId="2579DFC9" w:rsidR="005A004B" w:rsidRPr="006D2059" w:rsidRDefault="005A004B" w:rsidP="005A004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059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5F34245E" w14:textId="77777777" w:rsidR="005A004B" w:rsidRPr="006D2059" w:rsidRDefault="005A004B" w:rsidP="005A004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0A34" w14:textId="77777777" w:rsidR="005A004B" w:rsidRDefault="005A004B" w:rsidP="005A00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14:paraId="0EE867DA" w14:textId="77777777" w:rsidR="005A004B" w:rsidRDefault="005A004B" w:rsidP="005A00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771">
        <w:rPr>
          <w:rFonts w:ascii="Times New Roman" w:eastAsia="Times New Roman" w:hAnsi="Times New Roman" w:cs="Times New Roman"/>
          <w:sz w:val="24"/>
          <w:szCs w:val="24"/>
        </w:rPr>
        <w:t xml:space="preserve">Обґрунтування необхідності закупівлі даного виду послуг —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14:paraId="2FF1ACF0" w14:textId="77777777" w:rsidR="00887826" w:rsidRPr="00887826" w:rsidRDefault="00887826" w:rsidP="00887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E3A636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2A8A"/>
    <w:multiLevelType w:val="multilevel"/>
    <w:tmpl w:val="6C9AC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 w16cid:durableId="57432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6"/>
    <w:rsid w:val="002E5A7C"/>
    <w:rsid w:val="005A004B"/>
    <w:rsid w:val="00887826"/>
    <w:rsid w:val="00D157A9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5B2F"/>
  <w15:chartTrackingRefBased/>
  <w15:docId w15:val="{AE34B1CF-A26C-48D4-9255-99C757AD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tinet.com/content/dam/fortinet/assets/data-sheets/FortiGate_600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3</cp:revision>
  <dcterms:created xsi:type="dcterms:W3CDTF">2023-10-18T12:23:00Z</dcterms:created>
  <dcterms:modified xsi:type="dcterms:W3CDTF">2023-10-18T12:32:00Z</dcterms:modified>
</cp:coreProperties>
</file>