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62366" w:rsidRPr="00A62366" w:rsidRDefault="00A62366" w:rsidP="00A62366">
      <w:pPr>
        <w:pStyle w:val="a6"/>
        <w:numPr>
          <w:ilvl w:val="0"/>
          <w:numId w:val="3"/>
        </w:numPr>
        <w:spacing w:after="0" w:line="240" w:lineRule="auto"/>
        <w:jc w:val="center"/>
        <w:rPr>
          <w:rFonts w:ascii="Times New Roman" w:eastAsia="Times New Roman" w:hAnsi="Times New Roman" w:cs="Times New Roman"/>
          <w:b/>
          <w:bCs/>
          <w:sz w:val="24"/>
          <w:lang w:val="uk-UA"/>
        </w:rPr>
      </w:pPr>
      <w:r w:rsidRPr="00A62366">
        <w:rPr>
          <w:rFonts w:ascii="Times New Roman" w:eastAsia="Times New Roman" w:hAnsi="Times New Roman" w:cs="Times New Roman"/>
          <w:b/>
          <w:bCs/>
          <w:sz w:val="24"/>
          <w:lang w:val="uk-UA"/>
        </w:rPr>
        <w:t xml:space="preserve">КВАЛІФІКАЦІЙНІ КРИТЕРІЇ </w:t>
      </w:r>
    </w:p>
    <w:p w:rsidR="00A62366" w:rsidRPr="00A62366" w:rsidRDefault="00A62366" w:rsidP="00A62366">
      <w:pPr>
        <w:spacing w:after="0" w:line="240" w:lineRule="auto"/>
        <w:ind w:firstLine="284"/>
        <w:jc w:val="center"/>
        <w:rPr>
          <w:rFonts w:ascii="Times New Roman" w:eastAsia="Times New Roman" w:hAnsi="Times New Roman" w:cs="Times New Roman"/>
          <w:b/>
          <w:bCs/>
          <w:sz w:val="24"/>
          <w:lang w:val="uk-UA"/>
        </w:rPr>
      </w:pPr>
      <w:r w:rsidRPr="00A62366">
        <w:rPr>
          <w:rFonts w:ascii="Times New Roman" w:eastAsia="Times New Roman" w:hAnsi="Times New Roman" w:cs="Times New Roman"/>
          <w:b/>
          <w:bCs/>
          <w:sz w:val="24"/>
          <w:lang w:val="uk-UA"/>
        </w:rPr>
        <w:t xml:space="preserve">відповідно до статті 16 Закону та інформація про спосіб підтвердження </w:t>
      </w:r>
    </w:p>
    <w:p w:rsidR="00A62366" w:rsidRPr="00A62366" w:rsidRDefault="00A62366" w:rsidP="00A62366">
      <w:pPr>
        <w:spacing w:after="0" w:line="240" w:lineRule="auto"/>
        <w:ind w:firstLine="284"/>
        <w:jc w:val="center"/>
        <w:rPr>
          <w:rFonts w:ascii="Times New Roman" w:eastAsia="Times New Roman" w:hAnsi="Times New Roman" w:cs="Times New Roman"/>
          <w:b/>
          <w:bCs/>
          <w:sz w:val="24"/>
          <w:lang w:val="uk-UA"/>
        </w:rPr>
      </w:pPr>
      <w:r w:rsidRPr="00A62366">
        <w:rPr>
          <w:rFonts w:ascii="Times New Roman" w:eastAsia="Times New Roman" w:hAnsi="Times New Roman" w:cs="Times New Roman"/>
          <w:b/>
          <w:bCs/>
          <w:sz w:val="24"/>
          <w:lang w:val="uk-UA"/>
        </w:rPr>
        <w:t>відповідності учасників установленим кваліфікаційним критеріям і вимогам</w:t>
      </w:r>
    </w:p>
    <w:p w:rsidR="008C1732" w:rsidRDefault="008C1732" w:rsidP="00A62366">
      <w:pPr>
        <w:shd w:val="clear" w:color="auto" w:fill="FFFFFF"/>
        <w:spacing w:after="0" w:line="240" w:lineRule="auto"/>
        <w:jc w:val="both"/>
        <w:rPr>
          <w:rFonts w:ascii="Times New Roman" w:eastAsia="Times New Roman" w:hAnsi="Times New Roman" w:cs="Times New Roman"/>
          <w:b/>
          <w:color w:val="000000"/>
          <w:sz w:val="20"/>
          <w:szCs w:val="20"/>
        </w:rPr>
      </w:pPr>
    </w:p>
    <w:p w:rsidR="008C1732" w:rsidRPr="00FB0C11" w:rsidRDefault="008C1732">
      <w:pPr>
        <w:spacing w:after="0" w:line="240" w:lineRule="auto"/>
        <w:ind w:left="885"/>
        <w:jc w:val="center"/>
        <w:rPr>
          <w:rFonts w:ascii="Times New Roman" w:eastAsia="Times New Roman" w:hAnsi="Times New Roman" w:cs="Times New Roman"/>
          <w:i/>
          <w:sz w:val="20"/>
          <w:szCs w:val="20"/>
        </w:rPr>
      </w:pPr>
    </w:p>
    <w:tbl>
      <w:tblPr>
        <w:tblStyle w:val="a8"/>
        <w:tblW w:w="9913" w:type="dxa"/>
        <w:jc w:val="center"/>
        <w:tblInd w:w="0" w:type="dxa"/>
        <w:tblLayout w:type="fixed"/>
        <w:tblLook w:val="0400" w:firstRow="0" w:lastRow="0" w:firstColumn="0" w:lastColumn="0" w:noHBand="0" w:noVBand="1"/>
      </w:tblPr>
      <w:tblGrid>
        <w:gridCol w:w="490"/>
        <w:gridCol w:w="2273"/>
        <w:gridCol w:w="7150"/>
      </w:tblGrid>
      <w:tr w:rsidR="008C1732" w:rsidTr="001712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Pr="00994C62" w:rsidRDefault="00590ED2">
            <w:pPr>
              <w:spacing w:before="240" w:after="0" w:line="240" w:lineRule="auto"/>
              <w:jc w:val="center"/>
              <w:rPr>
                <w:rFonts w:ascii="Times New Roman" w:eastAsia="Times New Roman" w:hAnsi="Times New Roman" w:cs="Times New Roman"/>
                <w:sz w:val="20"/>
                <w:szCs w:val="20"/>
              </w:rPr>
            </w:pPr>
            <w:r w:rsidRPr="00994C62">
              <w:rPr>
                <w:rFonts w:ascii="Times New Roman" w:eastAsia="Times New Roman" w:hAnsi="Times New Roman" w:cs="Times New Roman"/>
                <w:b/>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Pr="00994C62" w:rsidRDefault="00590ED2">
            <w:pPr>
              <w:spacing w:before="240" w:after="0" w:line="240" w:lineRule="auto"/>
              <w:jc w:val="center"/>
              <w:rPr>
                <w:rFonts w:ascii="Times New Roman" w:eastAsia="Times New Roman" w:hAnsi="Times New Roman" w:cs="Times New Roman"/>
                <w:sz w:val="20"/>
                <w:szCs w:val="20"/>
              </w:rPr>
            </w:pPr>
            <w:r w:rsidRPr="00994C6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C1732" w:rsidRPr="00D1013C" w:rsidTr="00171242">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D1013C" w:rsidRDefault="00590ED2">
            <w:pPr>
              <w:spacing w:after="0" w:line="240" w:lineRule="auto"/>
              <w:jc w:val="center"/>
              <w:rPr>
                <w:rFonts w:ascii="Times New Roman" w:eastAsia="Times New Roman" w:hAnsi="Times New Roman" w:cs="Times New Roman"/>
                <w:sz w:val="20"/>
                <w:szCs w:val="20"/>
              </w:rPr>
            </w:pPr>
            <w:r w:rsidRPr="00D1013C">
              <w:rPr>
                <w:rFonts w:ascii="Times New Roman" w:eastAsia="Times New Roman" w:hAnsi="Times New Roman" w:cs="Times New Roman"/>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D1013C" w:rsidRDefault="00590ED2">
            <w:pPr>
              <w:spacing w:after="0" w:line="240" w:lineRule="auto"/>
              <w:rPr>
                <w:rFonts w:ascii="Times New Roman" w:eastAsia="Times New Roman" w:hAnsi="Times New Roman" w:cs="Times New Roman"/>
                <w:sz w:val="20"/>
                <w:szCs w:val="20"/>
              </w:rPr>
            </w:pPr>
            <w:r w:rsidRPr="00D1013C">
              <w:rPr>
                <w:rFonts w:ascii="Times New Roman" w:eastAsia="Times New Roman" w:hAnsi="Times New Roman" w:cs="Times New Roman"/>
                <w:color w:val="000000"/>
                <w:sz w:val="20"/>
                <w:szCs w:val="20"/>
              </w:rPr>
              <w:t>Наявність обладнання, матеріально-технічної бази та технологій*</w:t>
            </w:r>
          </w:p>
          <w:p w:rsidR="008C1732" w:rsidRPr="00D1013C" w:rsidRDefault="00590ED2">
            <w:pPr>
              <w:spacing w:after="0" w:line="240" w:lineRule="auto"/>
              <w:jc w:val="both"/>
              <w:rPr>
                <w:rFonts w:ascii="Times New Roman" w:eastAsia="Times New Roman" w:hAnsi="Times New Roman" w:cs="Times New Roman"/>
                <w:sz w:val="20"/>
                <w:szCs w:val="20"/>
              </w:rPr>
            </w:pPr>
            <w:r w:rsidRPr="00D1013C">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C1732" w:rsidRPr="00D1013C" w:rsidRDefault="008C1732">
            <w:pPr>
              <w:spacing w:after="0" w:line="240" w:lineRule="auto"/>
              <w:rPr>
                <w:rFonts w:ascii="Times New Roman" w:eastAsia="Times New Roman" w:hAnsi="Times New Roman" w:cs="Times New Roman"/>
                <w:sz w:val="20"/>
                <w:szCs w:val="20"/>
              </w:rPr>
            </w:pPr>
          </w:p>
          <w:p w:rsidR="008C1732" w:rsidRPr="00D1013C" w:rsidRDefault="00590ED2">
            <w:pPr>
              <w:spacing w:before="120" w:after="240" w:line="240" w:lineRule="auto"/>
              <w:jc w:val="both"/>
              <w:rPr>
                <w:rFonts w:ascii="Times New Roman" w:eastAsia="Times New Roman" w:hAnsi="Times New Roman" w:cs="Times New Roman"/>
                <w:sz w:val="20"/>
                <w:szCs w:val="20"/>
              </w:rPr>
            </w:pPr>
            <w:r w:rsidRPr="00D1013C">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8C1732" w:rsidRPr="00D1013C" w:rsidRDefault="008C1732">
            <w:pPr>
              <w:spacing w:after="0" w:line="240" w:lineRule="auto"/>
              <w:rPr>
                <w:rFonts w:ascii="Times New Roman" w:eastAsia="Times New Roman" w:hAnsi="Times New Roman" w:cs="Times New Roman"/>
                <w:sz w:val="20"/>
                <w:szCs w:val="20"/>
              </w:rPr>
            </w:pP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D1013C" w:rsidRDefault="004F0854" w:rsidP="004F0854">
            <w:pPr>
              <w:pStyle w:val="a6"/>
              <w:numPr>
                <w:ilvl w:val="1"/>
                <w:numId w:val="2"/>
              </w:numPr>
              <w:spacing w:after="0" w:line="240" w:lineRule="auto"/>
              <w:jc w:val="both"/>
              <w:rPr>
                <w:rFonts w:ascii="Times New Roman" w:eastAsia="Times New Roman" w:hAnsi="Times New Roman" w:cs="Times New Roman"/>
                <w:color w:val="000000"/>
                <w:sz w:val="20"/>
                <w:szCs w:val="20"/>
                <w:lang w:val="uk-UA"/>
              </w:rPr>
            </w:pPr>
            <w:r w:rsidRPr="00D1013C">
              <w:rPr>
                <w:rFonts w:ascii="Times New Roman" w:eastAsia="Times New Roman" w:hAnsi="Times New Roman" w:cs="Times New Roman"/>
                <w:color w:val="000000"/>
                <w:sz w:val="20"/>
                <w:szCs w:val="20"/>
                <w:lang w:val="uk-UA"/>
              </w:rPr>
              <w:t>Довідка в довільній формі про наявність обладнання, матеріально-технічної бази та технологій, необхідних для надання послуг (перелік обладнання та матеріально-технічної бази, які необхідні та достатні для надання послуг, наприклад: склади, приміщення, харчоблоки, транспортні засоби, холодильне обладнання тощо), визначених у технічних вимогах, із зазначенням найменування, кількості та правової підстави володіння/ користування.</w:t>
            </w:r>
          </w:p>
          <w:p w:rsidR="004F0854" w:rsidRPr="00D1013C" w:rsidRDefault="004F0854" w:rsidP="004F0854">
            <w:pPr>
              <w:pStyle w:val="a6"/>
              <w:numPr>
                <w:ilvl w:val="1"/>
                <w:numId w:val="2"/>
              </w:numPr>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відповідним майном. 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w:t>
            </w:r>
            <w:r w:rsidR="0098679B" w:rsidRPr="00D1013C">
              <w:rPr>
                <w:rFonts w:ascii="Times New Roman" w:eastAsia="Times New Roman" w:hAnsi="Times New Roman" w:cs="Times New Roman"/>
                <w:sz w:val="20"/>
                <w:szCs w:val="20"/>
                <w:lang w:val="uk-UA"/>
              </w:rPr>
              <w:t>не менше ніж 1 рік</w:t>
            </w:r>
            <w:r w:rsidRPr="00D1013C">
              <w:rPr>
                <w:rFonts w:ascii="Times New Roman" w:eastAsia="Times New Roman" w:hAnsi="Times New Roman" w:cs="Times New Roman"/>
                <w:sz w:val="20"/>
                <w:szCs w:val="20"/>
                <w:lang w:val="uk-UA"/>
              </w:rPr>
              <w:t xml:space="preserve"> і більше, у разі їх надання учасником, мають бути засвідчені нотаріально, у тому числі:</w:t>
            </w:r>
          </w:p>
          <w:p w:rsidR="004F0854" w:rsidRPr="00D1013C" w:rsidRDefault="004F0854" w:rsidP="004F0854">
            <w:pPr>
              <w:pStyle w:val="a6"/>
              <w:numPr>
                <w:ilvl w:val="1"/>
                <w:numId w:val="2"/>
              </w:numPr>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на підтвердження наявності складів, приміщень та харчоблоків учасник має надати документальне підтвердження у вигляді:</w:t>
            </w:r>
          </w:p>
          <w:p w:rsidR="004F0854" w:rsidRPr="00D1013C" w:rsidRDefault="004F0854" w:rsidP="00FC1A67">
            <w:pPr>
              <w:pStyle w:val="a6"/>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договорів про право власності або інших правочинів, що підтверджують право власності учасника закупівлі, завірених належним чином;</w:t>
            </w:r>
          </w:p>
          <w:p w:rsidR="004F0854" w:rsidRPr="00D1013C" w:rsidRDefault="004F0854" w:rsidP="00FC1A67">
            <w:pPr>
              <w:pStyle w:val="a6"/>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договорів оренди / суборенди, лізингу / сублізингу об’єктів матеріально-технічної бази та інших правочинів, передбачених законодавством, завірених належним чином;</w:t>
            </w:r>
          </w:p>
          <w:p w:rsidR="004F0854" w:rsidRPr="00D1013C" w:rsidRDefault="004F0854" w:rsidP="00FC1A67">
            <w:pPr>
              <w:pStyle w:val="a6"/>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актів приймання-передачі об’єктів матеріально-технічної бази або інших документів, передбачених умовами договорів або законодавством, що підтверджують передання учаснику процедури закупівлі об’єктів матеріально-технічної бази, завірених належним чином;</w:t>
            </w:r>
          </w:p>
          <w:p w:rsidR="004F0854" w:rsidRPr="00D1013C" w:rsidRDefault="004F0854" w:rsidP="004F0854">
            <w:pPr>
              <w:pStyle w:val="a6"/>
              <w:numPr>
                <w:ilvl w:val="1"/>
                <w:numId w:val="2"/>
              </w:numPr>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на підтвердження наявності транспортних засобів учасник має надати документальне підтвердження у вигляді:</w:t>
            </w:r>
          </w:p>
          <w:p w:rsidR="004F0854" w:rsidRPr="00D1013C" w:rsidRDefault="004F0854" w:rsidP="00FC1A67">
            <w:pPr>
              <w:pStyle w:val="a6"/>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або  свідоцтва про реєстрацію транспортного засобу або інших документів, які відповідно до законодавства, посвідчує право власності (обліку), завірені належним чином;</w:t>
            </w:r>
          </w:p>
          <w:p w:rsidR="004F0854" w:rsidRPr="00D1013C" w:rsidRDefault="004F0854" w:rsidP="00FC1A67">
            <w:pPr>
              <w:pStyle w:val="a6"/>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або  договорів оренди / суборенди, лізингу / сублізингу транспортного засобу та інших правочинів, передбачених законодавством (у разі, якщо транспортний засіб належить учаснику процедури закупівлі не на праві власності), завірених належним чином таким учасником;</w:t>
            </w:r>
          </w:p>
          <w:p w:rsidR="004F0854" w:rsidRPr="00D1013C" w:rsidRDefault="004F0854" w:rsidP="00FC1A67">
            <w:pPr>
              <w:pStyle w:val="a6"/>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або актів приймання-передачі транспортного засобу або інших документів, передбачених умовами договорів або законодавством, що підтверджують передання учаснику процедури закупівлі транспортного 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 завірених належним чином таким учасником;</w:t>
            </w:r>
          </w:p>
          <w:p w:rsidR="004F0854" w:rsidRPr="00D1013C" w:rsidRDefault="004F0854" w:rsidP="004F0854">
            <w:pPr>
              <w:pStyle w:val="a6"/>
              <w:numPr>
                <w:ilvl w:val="1"/>
                <w:numId w:val="2"/>
              </w:numPr>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надання зазначених послуг, у разі якщо їх строк менше строку договору про закупівлю</w:t>
            </w:r>
          </w:p>
          <w:p w:rsidR="004F0854" w:rsidRPr="00D1013C" w:rsidRDefault="004F0854" w:rsidP="004F0854">
            <w:pPr>
              <w:pStyle w:val="a6"/>
              <w:numPr>
                <w:ilvl w:val="1"/>
                <w:numId w:val="2"/>
              </w:numPr>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Надати інформацію щодо наявності експлуатаційного дозволу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 випадках, визначених статтями 23 та 25 Закону № 771</w:t>
            </w:r>
          </w:p>
          <w:p w:rsidR="004F0854" w:rsidRPr="00D1013C" w:rsidRDefault="004F0854" w:rsidP="004F0854">
            <w:pPr>
              <w:pStyle w:val="a6"/>
              <w:numPr>
                <w:ilvl w:val="1"/>
                <w:numId w:val="2"/>
              </w:numPr>
              <w:spacing w:after="0" w:line="240" w:lineRule="auto"/>
              <w:jc w:val="both"/>
              <w:rPr>
                <w:rFonts w:ascii="Times New Roman" w:eastAsia="Times New Roman" w:hAnsi="Times New Roman" w:cs="Times New Roman"/>
                <w:sz w:val="20"/>
                <w:szCs w:val="20"/>
                <w:lang w:val="uk-UA"/>
              </w:rPr>
            </w:pPr>
            <w:r w:rsidRPr="00D1013C">
              <w:rPr>
                <w:rFonts w:ascii="Times New Roman" w:eastAsia="Times New Roman" w:hAnsi="Times New Roman" w:cs="Times New Roman"/>
                <w:sz w:val="20"/>
                <w:szCs w:val="20"/>
                <w:lang w:val="uk-UA"/>
              </w:rPr>
              <w:t xml:space="preserve">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впровадження та застосування постійно діючих </w:t>
            </w:r>
            <w:r w:rsidRPr="00D1013C">
              <w:rPr>
                <w:rFonts w:ascii="Times New Roman" w:eastAsia="Times New Roman" w:hAnsi="Times New Roman" w:cs="Times New Roman"/>
                <w:sz w:val="20"/>
                <w:szCs w:val="20"/>
                <w:lang w:val="uk-UA"/>
              </w:rPr>
              <w:lastRenderedPageBreak/>
              <w:t>процедур, заснованих на принципах системи аналізу небезпечних факторів та контролю у критичних точках (НАССР) на потужностях.</w:t>
            </w:r>
          </w:p>
        </w:tc>
        <w:bookmarkStart w:id="0" w:name="_GoBack"/>
        <w:bookmarkEnd w:id="0"/>
      </w:tr>
      <w:tr w:rsidR="008C1732" w:rsidRPr="00D1013C" w:rsidTr="00171242">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1672B0" w:rsidRDefault="00590ED2">
            <w:pPr>
              <w:spacing w:after="0" w:line="240" w:lineRule="auto"/>
              <w:rPr>
                <w:rFonts w:ascii="Times New Roman" w:eastAsia="Times New Roman" w:hAnsi="Times New Roman" w:cs="Times New Roman"/>
                <w:sz w:val="20"/>
                <w:szCs w:val="20"/>
              </w:rPr>
            </w:pPr>
            <w:r w:rsidRPr="001672B0">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C1732" w:rsidRPr="001672B0" w:rsidRDefault="00590ED2">
            <w:pPr>
              <w:spacing w:after="0" w:line="240" w:lineRule="auto"/>
              <w:jc w:val="both"/>
              <w:rPr>
                <w:rFonts w:ascii="Times New Roman" w:eastAsia="Times New Roman" w:hAnsi="Times New Roman" w:cs="Times New Roman"/>
                <w:sz w:val="20"/>
                <w:szCs w:val="20"/>
              </w:rPr>
            </w:pPr>
            <w:r w:rsidRPr="001672B0">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C1732" w:rsidRPr="001672B0" w:rsidRDefault="008C1732">
            <w:pPr>
              <w:spacing w:after="0" w:line="240" w:lineRule="auto"/>
              <w:rPr>
                <w:rFonts w:ascii="Times New Roman" w:eastAsia="Times New Roman" w:hAnsi="Times New Roman" w:cs="Times New Roman"/>
                <w:sz w:val="20"/>
                <w:szCs w:val="20"/>
              </w:rPr>
            </w:pPr>
          </w:p>
          <w:p w:rsidR="008C1732" w:rsidRPr="001672B0" w:rsidRDefault="00590ED2">
            <w:pPr>
              <w:spacing w:before="120" w:after="240" w:line="240" w:lineRule="auto"/>
              <w:jc w:val="both"/>
              <w:rPr>
                <w:rFonts w:ascii="Times New Roman" w:eastAsia="Times New Roman" w:hAnsi="Times New Roman" w:cs="Times New Roman"/>
                <w:sz w:val="20"/>
                <w:szCs w:val="20"/>
              </w:rPr>
            </w:pPr>
            <w:r w:rsidRPr="001672B0">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54" w:rsidRPr="00FC1A67" w:rsidRDefault="00590ED2" w:rsidP="004F085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2.1. </w:t>
            </w:r>
            <w:r w:rsidR="004F0854" w:rsidRPr="004F0854">
              <w:rPr>
                <w:rFonts w:ascii="Times New Roman" w:eastAsia="Times New Roman" w:hAnsi="Times New Roman" w:cs="Times New Roman"/>
                <w:sz w:val="24"/>
                <w:szCs w:val="24"/>
                <w:lang w:val="uk-UA"/>
              </w:rPr>
              <w:t>Довідка в довільній формі про наявність в учасника, працівників відповідної кваліфікації, які мають необхідні знання та досвід за формою Таблиці 1.</w:t>
            </w:r>
          </w:p>
          <w:p w:rsidR="004F0854" w:rsidRPr="004F0854" w:rsidRDefault="004F0854" w:rsidP="004F0854">
            <w:pPr>
              <w:ind w:firstLine="709"/>
              <w:jc w:val="both"/>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b/>
                <w:bCs/>
                <w:sz w:val="24"/>
                <w:szCs w:val="24"/>
                <w:lang w:val="uk-UA"/>
              </w:rPr>
              <w:t>Розрахунок чисельності працівників</w:t>
            </w:r>
            <w:r w:rsidRPr="004F0854">
              <w:rPr>
                <w:rFonts w:ascii="Times New Roman" w:eastAsia="Times New Roman" w:hAnsi="Times New Roman" w:cs="Times New Roman"/>
                <w:sz w:val="24"/>
                <w:szCs w:val="24"/>
              </w:rPr>
              <w:t> </w:t>
            </w:r>
            <w:r w:rsidRPr="004F0854">
              <w:rPr>
                <w:rFonts w:ascii="Times New Roman" w:eastAsia="Times New Roman" w:hAnsi="Times New Roman" w:cs="Times New Roman"/>
                <w:sz w:val="24"/>
                <w:szCs w:val="24"/>
                <w:lang w:val="uk-UA"/>
              </w:rPr>
              <w:t>(технолог, повар, кухонний робітник, комірник тощо), як</w:t>
            </w:r>
            <w:r w:rsidRPr="004F0854">
              <w:rPr>
                <w:rFonts w:ascii="Times New Roman" w:eastAsia="Times New Roman" w:hAnsi="Times New Roman" w:cs="Times New Roman"/>
                <w:sz w:val="24"/>
                <w:szCs w:val="24"/>
              </w:rPr>
              <w:t>i</w:t>
            </w:r>
            <w:r w:rsidRPr="004F0854">
              <w:rPr>
                <w:rFonts w:ascii="Times New Roman" w:eastAsia="Times New Roman" w:hAnsi="Times New Roman" w:cs="Times New Roman"/>
                <w:sz w:val="24"/>
                <w:szCs w:val="24"/>
                <w:lang w:val="uk-UA"/>
              </w:rPr>
              <w:t xml:space="preserve"> безпосередньо беруть участь у наданні Послуг,</w:t>
            </w:r>
            <w:r w:rsidRPr="004F0854">
              <w:rPr>
                <w:rFonts w:ascii="Times New Roman" w:eastAsia="Times New Roman" w:hAnsi="Times New Roman" w:cs="Times New Roman"/>
                <w:sz w:val="24"/>
                <w:szCs w:val="24"/>
              </w:rPr>
              <w:t> </w:t>
            </w:r>
            <w:r w:rsidRPr="004F0854">
              <w:rPr>
                <w:rFonts w:ascii="Times New Roman" w:eastAsia="Times New Roman" w:hAnsi="Times New Roman" w:cs="Times New Roman"/>
                <w:b/>
                <w:bCs/>
                <w:sz w:val="24"/>
                <w:szCs w:val="24"/>
                <w:lang w:val="uk-UA"/>
              </w:rPr>
              <w:t>здійснюється відповідно до Типових штатних нормативів закладів загальної середньої освіти,</w:t>
            </w:r>
            <w:r w:rsidRPr="004F0854">
              <w:rPr>
                <w:rFonts w:ascii="Times New Roman" w:eastAsia="Times New Roman" w:hAnsi="Times New Roman" w:cs="Times New Roman"/>
                <w:sz w:val="24"/>
                <w:szCs w:val="24"/>
              </w:rPr>
              <w:t> </w:t>
            </w:r>
            <w:r w:rsidRPr="004F0854">
              <w:rPr>
                <w:rFonts w:ascii="Times New Roman" w:eastAsia="Times New Roman" w:hAnsi="Times New Roman" w:cs="Times New Roman"/>
                <w:sz w:val="24"/>
                <w:szCs w:val="24"/>
                <w:lang w:val="uk-UA"/>
              </w:rPr>
              <w:t xml:space="preserve">затверджених наказом Міністерства освіти </w:t>
            </w:r>
            <w:r w:rsidRPr="004F0854">
              <w:rPr>
                <w:rFonts w:ascii="Times New Roman" w:eastAsia="Times New Roman" w:hAnsi="Times New Roman" w:cs="Times New Roman"/>
                <w:sz w:val="24"/>
                <w:szCs w:val="24"/>
              </w:rPr>
              <w:t>i</w:t>
            </w:r>
            <w:r w:rsidRPr="004F0854">
              <w:rPr>
                <w:rFonts w:ascii="Times New Roman" w:eastAsia="Times New Roman" w:hAnsi="Times New Roman" w:cs="Times New Roman"/>
                <w:sz w:val="24"/>
                <w:szCs w:val="24"/>
                <w:lang w:val="uk-UA"/>
              </w:rPr>
              <w:t xml:space="preserve"> науки України від 06.12.2010 № 1205, зареєстрованих у Міністерстві юстиції України 22.12.2010 за № 1308/18603.</w:t>
            </w:r>
            <w:r w:rsidRPr="004F0854">
              <w:rPr>
                <w:rFonts w:ascii="Times New Roman" w:eastAsia="Times New Roman" w:hAnsi="Times New Roman" w:cs="Times New Roman"/>
                <w:sz w:val="24"/>
                <w:szCs w:val="24"/>
                <w:lang w:val="uk-UA" w:eastAsia="en-US"/>
              </w:rPr>
              <w:t xml:space="preserve"> </w:t>
            </w:r>
          </w:p>
          <w:p w:rsidR="004F0854" w:rsidRPr="004F0854" w:rsidRDefault="004F0854" w:rsidP="004F0854">
            <w:pPr>
              <w:ind w:firstLine="709"/>
              <w:jc w:val="both"/>
              <w:rPr>
                <w:rFonts w:ascii="Times New Roman" w:eastAsia="Times New Roman" w:hAnsi="Times New Roman" w:cs="Times New Roman"/>
                <w:sz w:val="24"/>
                <w:szCs w:val="24"/>
                <w:lang w:val="uk-UA"/>
              </w:rPr>
            </w:pPr>
            <w:r w:rsidRPr="004F0854">
              <w:rPr>
                <w:rFonts w:ascii="Times New Roman" w:eastAsia="Times New Roman" w:hAnsi="Times New Roman" w:cs="Times New Roman"/>
                <w:sz w:val="24"/>
                <w:szCs w:val="24"/>
                <w:lang w:val="uk-UA" w:eastAsia="en-US"/>
              </w:rPr>
              <w:t xml:space="preserve">Довідка в довільний формі про наявність в штаті </w:t>
            </w:r>
            <w:r w:rsidRPr="001672B0">
              <w:rPr>
                <w:rFonts w:ascii="Times New Roman" w:eastAsia="Times New Roman" w:hAnsi="Times New Roman" w:cs="Times New Roman"/>
                <w:sz w:val="24"/>
                <w:szCs w:val="24"/>
                <w:lang w:val="uk-UA" w:eastAsia="en-US"/>
              </w:rPr>
              <w:t>підприємства працівників відповідної кваліфікації, які мають необхідні знання та досвід</w:t>
            </w:r>
            <w:r w:rsidR="009E72EB">
              <w:rPr>
                <w:rFonts w:ascii="Times New Roman" w:eastAsia="Times New Roman" w:hAnsi="Times New Roman" w:cs="Times New Roman"/>
                <w:sz w:val="24"/>
                <w:szCs w:val="24"/>
                <w:lang w:val="uk-UA" w:eastAsia="en-US"/>
              </w:rPr>
              <w:t>.</w:t>
            </w:r>
            <w:r w:rsidRPr="004F0854">
              <w:rPr>
                <w:rFonts w:ascii="Times New Roman" w:eastAsia="Times New Roman" w:hAnsi="Times New Roman" w:cs="Times New Roman"/>
                <w:sz w:val="24"/>
                <w:szCs w:val="24"/>
                <w:lang w:val="uk-UA" w:eastAsia="en-US"/>
              </w:rPr>
              <w:t xml:space="preserve"> </w:t>
            </w:r>
          </w:p>
          <w:p w:rsidR="004F0854" w:rsidRPr="004F0854" w:rsidRDefault="004F0854" w:rsidP="004F0854">
            <w:pPr>
              <w:spacing w:after="0" w:line="240" w:lineRule="auto"/>
              <w:jc w:val="right"/>
              <w:rPr>
                <w:rFonts w:ascii="Times New Roman" w:eastAsia="Times New Roman" w:hAnsi="Times New Roman" w:cs="Times New Roman"/>
                <w:sz w:val="24"/>
                <w:szCs w:val="24"/>
                <w:lang w:val="uk-UA"/>
              </w:rPr>
            </w:pPr>
            <w:r w:rsidRPr="004F0854">
              <w:rPr>
                <w:rFonts w:ascii="Times New Roman" w:eastAsia="Times New Roman" w:hAnsi="Times New Roman" w:cs="Times New Roman"/>
                <w:sz w:val="24"/>
                <w:szCs w:val="24"/>
                <w:lang w:val="uk-UA"/>
              </w:rPr>
              <w:t xml:space="preserve">Таблиця 1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884"/>
              <w:gridCol w:w="1101"/>
              <w:gridCol w:w="970"/>
              <w:gridCol w:w="3582"/>
            </w:tblGrid>
            <w:tr w:rsidR="004F0854" w:rsidRPr="00D1013C" w:rsidTr="00171242">
              <w:tc>
                <w:tcPr>
                  <w:tcW w:w="7054" w:type="dxa"/>
                  <w:gridSpan w:val="5"/>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b/>
                      <w:bCs/>
                      <w:sz w:val="24"/>
                      <w:szCs w:val="24"/>
                      <w:lang w:val="uk-UA" w:eastAsia="en-US"/>
                    </w:rPr>
                  </w:pPr>
                  <w:r w:rsidRPr="004F0854">
                    <w:rPr>
                      <w:rFonts w:ascii="Times New Roman" w:eastAsia="Times New Roman" w:hAnsi="Times New Roman" w:cs="Times New Roman"/>
                      <w:b/>
                      <w:bCs/>
                      <w:sz w:val="24"/>
                      <w:szCs w:val="24"/>
                      <w:lang w:val="uk-UA" w:eastAsia="en-US"/>
                    </w:rPr>
                    <w:t>Довідка про наявність працівників відповідної кваліфікації, які мають необхідні знання та досвід</w:t>
                  </w:r>
                </w:p>
              </w:tc>
            </w:tr>
            <w:tr w:rsidR="004F0854" w:rsidRPr="004F0854" w:rsidTr="00171242">
              <w:tc>
                <w:tcPr>
                  <w:tcW w:w="517"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rPr>
                    <w:t>№ з/п</w:t>
                  </w:r>
                </w:p>
              </w:tc>
              <w:tc>
                <w:tcPr>
                  <w:tcW w:w="884"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eastAsia="en-US"/>
                    </w:rPr>
                    <w:t>П.І.П.</w:t>
                  </w:r>
                </w:p>
              </w:tc>
              <w:tc>
                <w:tcPr>
                  <w:tcW w:w="1101"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rPr>
                    <w:t>Посада</w:t>
                  </w:r>
                </w:p>
              </w:tc>
              <w:tc>
                <w:tcPr>
                  <w:tcW w:w="970"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rPr>
                    <w:t>Освіта</w:t>
                  </w:r>
                </w:p>
              </w:tc>
              <w:tc>
                <w:tcPr>
                  <w:tcW w:w="3582"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eastAsia="en-US"/>
                    </w:rPr>
                    <w:t>Досвід роботи на  посаді (років)</w:t>
                  </w:r>
                </w:p>
              </w:tc>
            </w:tr>
            <w:tr w:rsidR="004F0854" w:rsidRPr="004F0854" w:rsidTr="00171242">
              <w:tc>
                <w:tcPr>
                  <w:tcW w:w="517"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4"/>
                      <w:szCs w:val="24"/>
                      <w:lang w:val="uk-UA" w:eastAsia="en-US"/>
                    </w:rPr>
                  </w:pPr>
                </w:p>
              </w:tc>
              <w:tc>
                <w:tcPr>
                  <w:tcW w:w="884"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4"/>
                      <w:szCs w:val="24"/>
                      <w:lang w:val="uk-UA" w:eastAsia="en-US"/>
                    </w:rPr>
                  </w:pPr>
                </w:p>
              </w:tc>
              <w:tc>
                <w:tcPr>
                  <w:tcW w:w="1101"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4"/>
                      <w:szCs w:val="24"/>
                      <w:lang w:val="uk-UA" w:eastAsia="en-US"/>
                    </w:rPr>
                  </w:pPr>
                </w:p>
              </w:tc>
              <w:tc>
                <w:tcPr>
                  <w:tcW w:w="970"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4"/>
                      <w:szCs w:val="24"/>
                      <w:lang w:val="uk-UA" w:eastAsia="en-US"/>
                    </w:rPr>
                  </w:pPr>
                </w:p>
              </w:tc>
              <w:tc>
                <w:tcPr>
                  <w:tcW w:w="3582"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4"/>
                      <w:szCs w:val="24"/>
                      <w:lang w:val="uk-UA" w:eastAsia="en-US"/>
                    </w:rPr>
                  </w:pPr>
                </w:p>
              </w:tc>
            </w:tr>
          </w:tbl>
          <w:p w:rsidR="004F0854" w:rsidRPr="004F0854" w:rsidRDefault="004F0854" w:rsidP="004F0854">
            <w:pPr>
              <w:spacing w:after="0" w:line="240" w:lineRule="auto"/>
              <w:jc w:val="both"/>
              <w:rPr>
                <w:rFonts w:ascii="Times New Roman" w:eastAsia="Times New Roman" w:hAnsi="Times New Roman" w:cs="Times New Roman"/>
                <w:sz w:val="24"/>
                <w:szCs w:val="24"/>
              </w:rPr>
            </w:pPr>
            <w:r w:rsidRPr="004F0854">
              <w:rPr>
                <w:rFonts w:ascii="Times New Roman" w:eastAsia="Times New Roman" w:hAnsi="Times New Roman" w:cs="Times New Roman"/>
                <w:sz w:val="24"/>
                <w:szCs w:val="24"/>
                <w:lang w:val="uk-UA"/>
              </w:rPr>
              <w:t>А також надається окрема довідка в довільній формі про наявність у кожного 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за формою Таблиці 2.</w:t>
            </w:r>
          </w:p>
          <w:p w:rsidR="004F0854" w:rsidRPr="004F0854" w:rsidRDefault="004F0854" w:rsidP="004F0854">
            <w:pPr>
              <w:spacing w:after="0" w:line="240" w:lineRule="auto"/>
              <w:jc w:val="right"/>
              <w:rPr>
                <w:rFonts w:ascii="Times New Roman" w:eastAsia="Times New Roman" w:hAnsi="Times New Roman" w:cs="Times New Roman"/>
                <w:sz w:val="24"/>
                <w:szCs w:val="24"/>
                <w:lang w:val="uk-UA"/>
              </w:rPr>
            </w:pPr>
            <w:r w:rsidRPr="004F0854">
              <w:rPr>
                <w:rFonts w:ascii="Times New Roman" w:eastAsia="Times New Roman" w:hAnsi="Times New Roman" w:cs="Times New Roman"/>
                <w:sz w:val="24"/>
                <w:szCs w:val="24"/>
                <w:lang w:val="uk-UA"/>
              </w:rPr>
              <w:t xml:space="preserve">Таблиця 2  </w:t>
            </w:r>
          </w:p>
          <w:tbl>
            <w:tblPr>
              <w:tblW w:w="7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057"/>
              <w:gridCol w:w="1081"/>
              <w:gridCol w:w="1011"/>
              <w:gridCol w:w="3493"/>
            </w:tblGrid>
            <w:tr w:rsidR="004F0854" w:rsidRPr="00D1013C" w:rsidTr="00171242">
              <w:tc>
                <w:tcPr>
                  <w:tcW w:w="7148" w:type="dxa"/>
                  <w:gridSpan w:val="5"/>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b/>
                      <w:bCs/>
                      <w:sz w:val="20"/>
                      <w:szCs w:val="20"/>
                      <w:lang w:val="uk-UA" w:eastAsia="en-US"/>
                    </w:rPr>
                  </w:pPr>
                  <w:bookmarkStart w:id="1" w:name="_Hlk41562769"/>
                  <w:r w:rsidRPr="004F0854">
                    <w:rPr>
                      <w:rFonts w:ascii="Times New Roman" w:eastAsia="Times New Roman" w:hAnsi="Times New Roman" w:cs="Times New Roman"/>
                      <w:b/>
                      <w:bCs/>
                      <w:sz w:val="20"/>
                      <w:szCs w:val="20"/>
                      <w:lang w:val="uk-UA" w:eastAsia="en-US"/>
                    </w:rPr>
                    <w:t>Довідка про наявність працівників відповідної кваліфікації, які мають необхідні знання та досвід</w:t>
                  </w:r>
                </w:p>
              </w:tc>
            </w:tr>
            <w:tr w:rsidR="004F0854" w:rsidRPr="004F0854" w:rsidTr="00171242">
              <w:tc>
                <w:tcPr>
                  <w:tcW w:w="506"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rPr>
                    <w:t>№ з/п</w:t>
                  </w:r>
                </w:p>
              </w:tc>
              <w:tc>
                <w:tcPr>
                  <w:tcW w:w="1057"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eastAsia="en-US"/>
                    </w:rPr>
                    <w:t>П.І.П.</w:t>
                  </w:r>
                </w:p>
              </w:tc>
              <w:tc>
                <w:tcPr>
                  <w:tcW w:w="1081"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rPr>
                    <w:t>Посада</w:t>
                  </w:r>
                </w:p>
              </w:tc>
              <w:tc>
                <w:tcPr>
                  <w:tcW w:w="1011"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rPr>
                    <w:t>Освіта</w:t>
                  </w:r>
                </w:p>
              </w:tc>
              <w:tc>
                <w:tcPr>
                  <w:tcW w:w="3493"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jc w:val="center"/>
                    <w:rPr>
                      <w:rFonts w:ascii="Times New Roman" w:eastAsia="Times New Roman" w:hAnsi="Times New Roman" w:cs="Times New Roman"/>
                      <w:sz w:val="24"/>
                      <w:szCs w:val="24"/>
                      <w:lang w:val="uk-UA" w:eastAsia="en-US"/>
                    </w:rPr>
                  </w:pPr>
                  <w:r w:rsidRPr="004F0854">
                    <w:rPr>
                      <w:rFonts w:ascii="Times New Roman" w:eastAsia="Times New Roman" w:hAnsi="Times New Roman" w:cs="Times New Roman"/>
                      <w:sz w:val="24"/>
                      <w:szCs w:val="24"/>
                      <w:lang w:val="uk-UA" w:eastAsia="en-US"/>
                    </w:rPr>
                    <w:t>Досвід роботи на аналогічній посаді (років)</w:t>
                  </w:r>
                </w:p>
              </w:tc>
            </w:tr>
            <w:tr w:rsidR="004F0854" w:rsidRPr="004F0854" w:rsidTr="00171242">
              <w:tc>
                <w:tcPr>
                  <w:tcW w:w="506"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0"/>
                      <w:szCs w:val="20"/>
                      <w:lang w:eastAsia="en-US"/>
                    </w:rPr>
                  </w:pPr>
                </w:p>
              </w:tc>
              <w:tc>
                <w:tcPr>
                  <w:tcW w:w="1057"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0"/>
                      <w:szCs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0"/>
                      <w:szCs w:val="20"/>
                      <w:lang w:eastAsia="en-US"/>
                    </w:rPr>
                  </w:pPr>
                </w:p>
              </w:tc>
              <w:tc>
                <w:tcPr>
                  <w:tcW w:w="3493" w:type="dxa"/>
                  <w:tcBorders>
                    <w:top w:val="single" w:sz="4" w:space="0" w:color="auto"/>
                    <w:left w:val="single" w:sz="4" w:space="0" w:color="auto"/>
                    <w:bottom w:val="single" w:sz="4" w:space="0" w:color="auto"/>
                    <w:right w:val="single" w:sz="4" w:space="0" w:color="auto"/>
                  </w:tcBorders>
                </w:tcPr>
                <w:p w:rsidR="004F0854" w:rsidRPr="004F0854" w:rsidRDefault="004F0854" w:rsidP="004F0854">
                  <w:pPr>
                    <w:spacing w:after="0" w:line="240" w:lineRule="auto"/>
                    <w:rPr>
                      <w:rFonts w:ascii="Times New Roman" w:eastAsia="Times New Roman" w:hAnsi="Times New Roman" w:cs="Times New Roman"/>
                      <w:sz w:val="20"/>
                      <w:szCs w:val="20"/>
                      <w:lang w:eastAsia="en-US"/>
                    </w:rPr>
                  </w:pPr>
                </w:p>
              </w:tc>
            </w:tr>
          </w:tbl>
          <w:bookmarkEnd w:id="1"/>
          <w:p w:rsidR="004F0854" w:rsidRPr="001672B0" w:rsidRDefault="004F0854" w:rsidP="004F0854">
            <w:pPr>
              <w:spacing w:after="0" w:line="240" w:lineRule="auto"/>
              <w:ind w:firstLine="579"/>
              <w:jc w:val="both"/>
              <w:rPr>
                <w:rFonts w:ascii="Times New Roman" w:eastAsia="Times New Roman" w:hAnsi="Times New Roman" w:cs="Times New Roman"/>
                <w:sz w:val="24"/>
                <w:szCs w:val="24"/>
                <w:lang w:val="uk-UA"/>
              </w:rPr>
            </w:pPr>
            <w:r w:rsidRPr="001672B0">
              <w:rPr>
                <w:rFonts w:ascii="Times New Roman" w:eastAsia="Times New Roman" w:hAnsi="Times New Roman" w:cs="Times New Roman"/>
                <w:sz w:val="24"/>
                <w:szCs w:val="24"/>
                <w:lang w:val="uk-UA"/>
              </w:rPr>
              <w:t>Для підтвердження даної інформації Учасник повинен надати на кожного працівника, зазначеного в довідці документи, що підтверджують наявність трудових відносин Учасника із вищевказаними працівниками  та які засвідчують можливість використання праці такого працівника учасником, співвиконавцем (якщо залучається)</w:t>
            </w:r>
          </w:p>
          <w:p w:rsidR="004F0854" w:rsidRPr="001672B0" w:rsidRDefault="004F0854" w:rsidP="004F0854">
            <w:pPr>
              <w:spacing w:after="0" w:line="240" w:lineRule="auto"/>
              <w:ind w:firstLine="579"/>
              <w:jc w:val="both"/>
              <w:rPr>
                <w:rFonts w:ascii="Times New Roman" w:eastAsia="Times New Roman" w:hAnsi="Times New Roman" w:cs="Times New Roman"/>
                <w:sz w:val="24"/>
                <w:szCs w:val="24"/>
                <w:lang w:val="uk-UA"/>
              </w:rPr>
            </w:pPr>
            <w:r w:rsidRPr="001672B0">
              <w:rPr>
                <w:rFonts w:ascii="Times New Roman" w:eastAsia="Times New Roman" w:hAnsi="Times New Roman" w:cs="Times New Roman"/>
                <w:sz w:val="24"/>
                <w:szCs w:val="24"/>
                <w:lang w:val="uk-UA"/>
              </w:rPr>
              <w:t>- Трудові книжки (сторінка із даними працівника, та сторінка із зазначенням працевлаштування в Учасника торгів), або трудові угоди / договори,  які підтверджують факт працевлаштування, згідно із чинним законодавством України.</w:t>
            </w:r>
          </w:p>
          <w:p w:rsidR="008C1732" w:rsidRPr="00F826C6" w:rsidRDefault="004F0854" w:rsidP="00F826C6">
            <w:pPr>
              <w:spacing w:after="0" w:line="240" w:lineRule="auto"/>
              <w:ind w:firstLine="579"/>
              <w:jc w:val="both"/>
              <w:rPr>
                <w:rFonts w:ascii="Times New Roman" w:hAnsi="Times New Roman" w:cs="Times New Roman"/>
                <w:sz w:val="24"/>
                <w:szCs w:val="24"/>
                <w:lang w:val="uk-UA" w:eastAsia="en-US"/>
              </w:rPr>
            </w:pPr>
            <w:r w:rsidRPr="001672B0">
              <w:rPr>
                <w:rFonts w:ascii="Times New Roman" w:eastAsia="Times New Roman" w:hAnsi="Times New Roman" w:cs="Times New Roman"/>
                <w:sz w:val="24"/>
                <w:szCs w:val="24"/>
                <w:lang w:val="uk-UA" w:eastAsia="en-US"/>
              </w:rPr>
              <w:t>- Документи про освіту відповідних працівників</w:t>
            </w:r>
            <w:r w:rsidRPr="004F0854">
              <w:rPr>
                <w:rFonts w:ascii="Times New Roman" w:eastAsia="Times New Roman" w:hAnsi="Times New Roman" w:cs="Times New Roman"/>
                <w:sz w:val="24"/>
                <w:szCs w:val="24"/>
                <w:lang w:val="uk-UA" w:eastAsia="en-US"/>
              </w:rPr>
              <w:t xml:space="preserve">, підтвердження проходження </w:t>
            </w:r>
            <w:r w:rsidR="00E92E99">
              <w:rPr>
                <w:rFonts w:ascii="Times New Roman" w:eastAsia="Times New Roman" w:hAnsi="Times New Roman" w:cs="Times New Roman"/>
                <w:sz w:val="24"/>
                <w:szCs w:val="24"/>
                <w:lang w:val="uk-UA" w:eastAsia="en-US"/>
              </w:rPr>
              <w:t xml:space="preserve"> </w:t>
            </w:r>
            <w:r w:rsidRPr="004F0854">
              <w:rPr>
                <w:rFonts w:ascii="Times New Roman" w:eastAsia="Times New Roman" w:hAnsi="Times New Roman" w:cs="Times New Roman"/>
                <w:sz w:val="24"/>
                <w:szCs w:val="24"/>
                <w:lang w:val="uk-UA" w:eastAsia="en-US"/>
              </w:rPr>
              <w:t>працівниками навчання з питань гігієни та копії чинних медичних книжок з відмітками про проходження ними обов’язкового профілактичного медичного огляду</w:t>
            </w:r>
            <w:r w:rsidRPr="004F0854">
              <w:rPr>
                <w:rFonts w:ascii="Times New Roman" w:hAnsi="Times New Roman" w:cs="Times New Roman"/>
                <w:sz w:val="24"/>
                <w:szCs w:val="24"/>
                <w:lang w:val="uk-UA" w:eastAsia="en-US"/>
              </w:rPr>
              <w:t xml:space="preserve"> </w:t>
            </w:r>
          </w:p>
        </w:tc>
      </w:tr>
      <w:tr w:rsidR="008C1732" w:rsidRPr="00C870B0" w:rsidTr="001712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4F0854" w:rsidP="004F0854">
            <w:pPr>
              <w:spacing w:after="0" w:line="240" w:lineRule="auto"/>
              <w:jc w:val="both"/>
              <w:rPr>
                <w:rFonts w:ascii="Times New Roman" w:hAnsi="Times New Roman" w:cs="Times New Roman"/>
                <w:b/>
                <w:i/>
                <w:sz w:val="24"/>
                <w:szCs w:val="24"/>
                <w:lang w:val="uk-UA" w:eastAsia="en-US"/>
              </w:rPr>
            </w:pPr>
            <w:r w:rsidRPr="004F0854">
              <w:rPr>
                <w:rFonts w:ascii="Times New Roman" w:hAnsi="Times New Roman" w:cs="Times New Roman"/>
                <w:b/>
                <w:i/>
                <w:sz w:val="24"/>
                <w:szCs w:val="24"/>
                <w:lang w:val="uk-UA" w:eastAsia="en-US"/>
              </w:rPr>
              <w:t xml:space="preserve">     Аналогічним договором в розумінні цього оголошення є повністю виконаний (завершений) договір  за предметом закупівлі </w:t>
            </w:r>
            <w:r w:rsidRPr="004F0854">
              <w:rPr>
                <w:rFonts w:ascii="Times New Roman" w:eastAsia="Times New Roman" w:hAnsi="Times New Roman" w:cs="Times New Roman"/>
                <w:b/>
                <w:i/>
                <w:sz w:val="24"/>
                <w:szCs w:val="24"/>
                <w:lang w:val="uk-UA" w:eastAsia="en-US"/>
              </w:rPr>
              <w:t xml:space="preserve">послуг з організації шкільного харчування, </w:t>
            </w:r>
            <w:r>
              <w:rPr>
                <w:rFonts w:ascii="Times New Roman" w:eastAsia="Times New Roman" w:hAnsi="Times New Roman" w:cs="Times New Roman"/>
                <w:b/>
                <w:i/>
                <w:sz w:val="24"/>
                <w:szCs w:val="24"/>
                <w:lang w:val="uk-UA" w:eastAsia="en-US"/>
              </w:rPr>
              <w:t xml:space="preserve"> кейтерингових  або аутсорсингових</w:t>
            </w:r>
            <w:r w:rsidRPr="004F0854">
              <w:rPr>
                <w:rFonts w:ascii="Times New Roman" w:eastAsia="Times New Roman" w:hAnsi="Times New Roman" w:cs="Times New Roman"/>
                <w:b/>
                <w:i/>
                <w:sz w:val="24"/>
                <w:szCs w:val="24"/>
                <w:lang w:val="uk-UA" w:eastAsia="en-US"/>
              </w:rPr>
              <w:t xml:space="preserve"> послуг</w:t>
            </w:r>
            <w:r w:rsidR="00C870B0">
              <w:rPr>
                <w:rFonts w:ascii="Times New Roman" w:eastAsia="Times New Roman" w:hAnsi="Times New Roman" w:cs="Times New Roman"/>
                <w:b/>
                <w:i/>
                <w:sz w:val="24"/>
                <w:szCs w:val="24"/>
                <w:lang w:val="uk-UA" w:eastAsia="en-US"/>
              </w:rPr>
              <w:t xml:space="preserve">  </w:t>
            </w:r>
            <w:r w:rsidRPr="004F0854">
              <w:rPr>
                <w:rFonts w:ascii="Times New Roman" w:eastAsia="Times New Roman" w:hAnsi="Times New Roman" w:cs="Times New Roman"/>
                <w:b/>
                <w:i/>
                <w:sz w:val="24"/>
                <w:szCs w:val="24"/>
                <w:lang w:val="uk-UA" w:eastAsia="en-US"/>
              </w:rPr>
              <w:t xml:space="preserve"> для шкіл</w:t>
            </w:r>
            <w:r w:rsidRPr="004F0854">
              <w:rPr>
                <w:rFonts w:ascii="Times New Roman" w:hAnsi="Times New Roman" w:cs="Times New Roman"/>
                <w:b/>
                <w:i/>
                <w:sz w:val="24"/>
                <w:szCs w:val="24"/>
                <w:lang w:val="uk-UA" w:eastAsia="en-US"/>
              </w:rPr>
              <w:t xml:space="preserve">.  </w:t>
            </w:r>
          </w:p>
          <w:p w:rsidR="00C870B0" w:rsidRPr="001445A2" w:rsidRDefault="00C870B0" w:rsidP="00C870B0">
            <w:pPr>
              <w:pStyle w:val="10"/>
              <w:jc w:val="both"/>
              <w:rPr>
                <w:rFonts w:ascii="Times New Roman" w:hAnsi="Times New Roman"/>
                <w:b/>
                <w:i/>
                <w:sz w:val="24"/>
                <w:szCs w:val="24"/>
                <w:lang w:val="ru-RU"/>
              </w:rPr>
            </w:pPr>
            <w:r w:rsidRPr="001445A2">
              <w:rPr>
                <w:rFonts w:ascii="Times New Roman" w:hAnsi="Times New Roman"/>
                <w:b/>
                <w:i/>
                <w:sz w:val="24"/>
                <w:szCs w:val="24"/>
              </w:rPr>
              <w:t>Не може вважатись аналогічним договором такий, яким не підтверджуються повністю виконані обов’язки за цим договором.</w:t>
            </w:r>
          </w:p>
          <w:p w:rsidR="00C870B0" w:rsidRPr="001445A2" w:rsidRDefault="00C870B0" w:rsidP="00C870B0">
            <w:pPr>
              <w:pStyle w:val="10"/>
              <w:ind w:firstLine="708"/>
              <w:rPr>
                <w:rFonts w:ascii="Times New Roman" w:hAnsi="Times New Roman"/>
                <w:sz w:val="24"/>
                <w:szCs w:val="24"/>
                <w:lang w:eastAsia="ru-RU"/>
              </w:rPr>
            </w:pPr>
            <w:r w:rsidRPr="001445A2">
              <w:rPr>
                <w:rFonts w:ascii="Times New Roman" w:hAnsi="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C870B0" w:rsidRDefault="00C870B0" w:rsidP="00C870B0">
            <w:pPr>
              <w:pStyle w:val="10"/>
              <w:ind w:firstLine="272"/>
              <w:rPr>
                <w:rFonts w:ascii="Times New Roman" w:hAnsi="Times New Roman"/>
                <w:sz w:val="24"/>
                <w:szCs w:val="24"/>
                <w:lang w:eastAsia="ru-RU"/>
              </w:rPr>
            </w:pPr>
            <w:r w:rsidRPr="001445A2">
              <w:rPr>
                <w:rFonts w:ascii="Times New Roman" w:hAnsi="Times New Roman"/>
                <w:sz w:val="24"/>
                <w:szCs w:val="24"/>
                <w:lang w:eastAsia="ru-RU"/>
              </w:rPr>
              <w:t>-   копії договор</w:t>
            </w:r>
            <w:r>
              <w:rPr>
                <w:rFonts w:ascii="Times New Roman" w:hAnsi="Times New Roman"/>
                <w:sz w:val="24"/>
                <w:szCs w:val="24"/>
                <w:lang w:eastAsia="ru-RU"/>
              </w:rPr>
              <w:t>ів</w:t>
            </w:r>
            <w:r w:rsidRPr="001445A2">
              <w:rPr>
                <w:rFonts w:ascii="Times New Roman" w:hAnsi="Times New Roman"/>
                <w:sz w:val="24"/>
                <w:szCs w:val="24"/>
                <w:lang w:eastAsia="ru-RU"/>
              </w:rPr>
              <w:t>, у повному обсязі (з усіма додатками до договору, укладеними додатковими угодами), </w:t>
            </w:r>
          </w:p>
          <w:p w:rsidR="001672B0" w:rsidRDefault="00C870B0" w:rsidP="00C870B0">
            <w:pPr>
              <w:pStyle w:val="10"/>
              <w:pBdr>
                <w:bottom w:val="single" w:sz="12" w:space="1" w:color="auto"/>
              </w:pBdr>
              <w:ind w:firstLine="272"/>
              <w:rPr>
                <w:rFonts w:ascii="Times New Roman" w:hAnsi="Times New Roman"/>
                <w:sz w:val="24"/>
                <w:szCs w:val="24"/>
                <w:shd w:val="clear" w:color="auto" w:fill="FFFFFF"/>
              </w:rPr>
            </w:pPr>
            <w:r w:rsidRPr="001445A2">
              <w:rPr>
                <w:rFonts w:ascii="Times New Roman" w:hAnsi="Times New Roman"/>
                <w:sz w:val="24"/>
                <w:szCs w:val="24"/>
                <w:lang w:eastAsia="ru-RU"/>
              </w:rPr>
              <w:t xml:space="preserve">- </w:t>
            </w:r>
            <w:r w:rsidRPr="001445A2">
              <w:rPr>
                <w:rFonts w:ascii="Times New Roman" w:hAnsi="Times New Roman"/>
                <w:sz w:val="24"/>
                <w:szCs w:val="24"/>
                <w:shd w:val="clear" w:color="auto" w:fill="FFFFFF"/>
              </w:rPr>
              <w:t>Лист – ві</w:t>
            </w:r>
            <w:r>
              <w:rPr>
                <w:rFonts w:ascii="Times New Roman" w:hAnsi="Times New Roman"/>
                <w:sz w:val="24"/>
                <w:szCs w:val="24"/>
                <w:shd w:val="clear" w:color="auto" w:fill="FFFFFF"/>
              </w:rPr>
              <w:t>дгук* від контрагентів,</w:t>
            </w:r>
            <w:r w:rsidR="006A511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зазначених в наданій Учасником довідці із зазначенням номеру, дати та суми договору, інформації про якість наданих послуг, своєчасність, наявність чи відсутність зауважень, претензій та судових позовів.</w:t>
            </w:r>
          </w:p>
          <w:p w:rsidR="00C870B0" w:rsidRPr="001445A2" w:rsidRDefault="001672B0" w:rsidP="00C870B0">
            <w:pPr>
              <w:pStyle w:val="10"/>
              <w:pBdr>
                <w:bottom w:val="single" w:sz="12" w:space="1" w:color="auto"/>
              </w:pBdr>
              <w:ind w:firstLine="272"/>
              <w:rPr>
                <w:rFonts w:ascii="Times New Roman" w:hAnsi="Times New Roman"/>
                <w:sz w:val="24"/>
                <w:szCs w:val="24"/>
              </w:rPr>
            </w:pPr>
            <w:r>
              <w:rPr>
                <w:rFonts w:ascii="Times New Roman" w:hAnsi="Times New Roman"/>
                <w:sz w:val="24"/>
                <w:szCs w:val="24"/>
                <w:shd w:val="clear" w:color="auto" w:fill="FFFFFF"/>
              </w:rPr>
              <w:t>Лист-відгук повинен бути виданий  не раніше дати оголошення закупівлі.</w:t>
            </w:r>
            <w:r w:rsidR="00C870B0">
              <w:rPr>
                <w:rFonts w:ascii="Times New Roman" w:hAnsi="Times New Roman"/>
                <w:sz w:val="24"/>
                <w:szCs w:val="24"/>
                <w:shd w:val="clear" w:color="auto" w:fill="FFFFFF"/>
              </w:rPr>
              <w:t xml:space="preserve"> </w:t>
            </w:r>
          </w:p>
          <w:p w:rsidR="00C870B0" w:rsidRPr="004F0854" w:rsidRDefault="00C870B0" w:rsidP="004F0854">
            <w:pPr>
              <w:spacing w:after="0" w:line="240" w:lineRule="auto"/>
              <w:jc w:val="both"/>
              <w:rPr>
                <w:rFonts w:ascii="Times New Roman" w:eastAsia="Times New Roman" w:hAnsi="Times New Roman" w:cs="Times New Roman"/>
                <w:sz w:val="20"/>
                <w:szCs w:val="20"/>
                <w:lang w:val="uk-UA"/>
              </w:rPr>
            </w:pPr>
          </w:p>
        </w:tc>
      </w:tr>
    </w:tbl>
    <w:p w:rsidR="008C1732" w:rsidRPr="001672B0" w:rsidRDefault="00590ED2">
      <w:pPr>
        <w:spacing w:before="240" w:after="0" w:line="240" w:lineRule="auto"/>
        <w:ind w:firstLine="720"/>
        <w:jc w:val="both"/>
        <w:rPr>
          <w:rFonts w:ascii="Times New Roman" w:eastAsia="Times New Roman" w:hAnsi="Times New Roman" w:cs="Times New Roman"/>
          <w:sz w:val="20"/>
          <w:szCs w:val="20"/>
          <w:lang w:val="uk-UA"/>
        </w:rPr>
      </w:pPr>
      <w:r w:rsidRPr="001672B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2366" w:rsidRPr="00F826C6" w:rsidRDefault="00590ED2" w:rsidP="00F826C6">
      <w:pPr>
        <w:spacing w:before="120" w:after="240" w:line="240" w:lineRule="auto"/>
        <w:ind w:firstLine="720"/>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B0C11">
        <w:rPr>
          <w:rFonts w:ascii="Times New Roman" w:eastAsia="Times New Roman" w:hAnsi="Times New Roman" w:cs="Times New Roman"/>
          <w:b/>
          <w:i/>
          <w:sz w:val="20"/>
          <w:szCs w:val="20"/>
        </w:rPr>
        <w:t>(наявність обладнання, матеріально-технічної бази та технологій)</w:t>
      </w:r>
      <w:r w:rsidRPr="00FB0C11">
        <w:rPr>
          <w:rFonts w:ascii="Times New Roman" w:eastAsia="Times New Roman" w:hAnsi="Times New Roman" w:cs="Times New Roman"/>
          <w:i/>
          <w:sz w:val="20"/>
          <w:szCs w:val="20"/>
        </w:rPr>
        <w:t xml:space="preserve"> і 2 </w:t>
      </w:r>
      <w:r w:rsidRPr="00FB0C1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FB0C11">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A77AE" w:rsidRDefault="008A77AE" w:rsidP="008A77AE">
      <w:pPr>
        <w:spacing w:before="240" w:after="0" w:line="240" w:lineRule="auto"/>
        <w:jc w:val="both"/>
        <w:rPr>
          <w:rFonts w:ascii="Times New Roman" w:eastAsia="Times New Roman" w:hAnsi="Times New Roman" w:cs="Times New Roman"/>
          <w:b/>
          <w:color w:val="000000"/>
          <w:sz w:val="20"/>
          <w:szCs w:val="20"/>
        </w:rPr>
      </w:pPr>
      <w:r w:rsidRPr="0017124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у відповідності до вимог Особливостей.</w:t>
      </w:r>
    </w:p>
    <w:p w:rsidR="008A77AE" w:rsidRDefault="008A77AE" w:rsidP="008A77AE">
      <w:pPr>
        <w:spacing w:before="240" w:after="0" w:line="240" w:lineRule="auto"/>
        <w:jc w:val="both"/>
        <w:rPr>
          <w:rFonts w:ascii="Times New Roman" w:eastAsia="Times New Roman" w:hAnsi="Times New Roman" w:cs="Times New Roman"/>
          <w:b/>
          <w:color w:val="000000"/>
          <w:sz w:val="20"/>
          <w:szCs w:val="20"/>
        </w:rPr>
      </w:pPr>
    </w:p>
    <w:p w:rsidR="008A77AE" w:rsidRDefault="008A77AE" w:rsidP="008A77AE">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A77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A77AE" w:rsidRDefault="008A77AE" w:rsidP="008A77AE">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A77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8A77AE" w:rsidRDefault="008A77AE" w:rsidP="008A77AE">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A77A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A77AE" w:rsidRDefault="008A77AE" w:rsidP="008A77A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8A77AE" w:rsidRDefault="008A77AE" w:rsidP="008A77AE">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A77AE" w:rsidRDefault="008A77AE" w:rsidP="008A77AE">
      <w:pPr>
        <w:spacing w:after="450" w:line="240" w:lineRule="auto"/>
        <w:jc w:val="both"/>
        <w:rPr>
          <w:rFonts w:ascii="Times New Roman" w:eastAsia="Times New Roman" w:hAnsi="Times New Roman" w:cs="Times New Roman"/>
          <w:color w:val="000000"/>
          <w:sz w:val="20"/>
          <w:szCs w:val="20"/>
        </w:rPr>
      </w:pPr>
      <w:r w:rsidRPr="00FB0C11">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A77AE" w:rsidRDefault="008A77AE" w:rsidP="008A77A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10055" w:type="dxa"/>
        <w:tblInd w:w="0" w:type="dxa"/>
        <w:tblLayout w:type="fixed"/>
        <w:tblLook w:val="0400" w:firstRow="0" w:lastRow="0" w:firstColumn="0" w:lastColumn="0" w:noHBand="0" w:noVBand="1"/>
      </w:tblPr>
      <w:tblGrid>
        <w:gridCol w:w="765"/>
        <w:gridCol w:w="4350"/>
        <w:gridCol w:w="4940"/>
      </w:tblGrid>
      <w:tr w:rsidR="008A77AE" w:rsidTr="008A77AE">
        <w:trPr>
          <w:trHeight w:val="11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A77AE" w:rsidRDefault="008A77AE" w:rsidP="00ED3FEC">
            <w:pPr>
              <w:spacing w:after="0" w:line="240" w:lineRule="auto"/>
              <w:ind w:left="100"/>
              <w:jc w:val="both"/>
              <w:rPr>
                <w:rFonts w:ascii="Times New Roman" w:eastAsia="Times New Roman" w:hAnsi="Times New Roman" w:cs="Times New Roman"/>
                <w:sz w:val="20"/>
                <w:szCs w:val="20"/>
              </w:rPr>
            </w:pP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A77AE" w:rsidTr="008A77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7AE" w:rsidTr="008A77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9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A77AE" w:rsidTr="008A77AE">
        <w:trPr>
          <w:trHeight w:val="25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9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77AE" w:rsidRDefault="008A77AE" w:rsidP="00ED3F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A77AE" w:rsidTr="008A77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77AE" w:rsidRDefault="008A77AE" w:rsidP="008A77AE">
      <w:pPr>
        <w:spacing w:after="0" w:line="240" w:lineRule="auto"/>
        <w:rPr>
          <w:rFonts w:ascii="Times New Roman" w:eastAsia="Times New Roman" w:hAnsi="Times New Roman" w:cs="Times New Roman"/>
          <w:b/>
          <w:color w:val="000000"/>
          <w:sz w:val="20"/>
          <w:szCs w:val="20"/>
        </w:rPr>
      </w:pPr>
    </w:p>
    <w:p w:rsidR="008A77AE" w:rsidRDefault="008A77AE" w:rsidP="008A77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10055" w:type="dxa"/>
        <w:tblInd w:w="0" w:type="dxa"/>
        <w:tblLayout w:type="fixed"/>
        <w:tblLook w:val="0400" w:firstRow="0" w:lastRow="0" w:firstColumn="0" w:lastColumn="0" w:noHBand="0" w:noVBand="1"/>
      </w:tblPr>
      <w:tblGrid>
        <w:gridCol w:w="587"/>
        <w:gridCol w:w="4427"/>
        <w:gridCol w:w="5041"/>
      </w:tblGrid>
      <w:tr w:rsidR="008A77AE" w:rsidTr="008A77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A77AE" w:rsidRDefault="008A77AE" w:rsidP="00ED3FEC">
            <w:pPr>
              <w:spacing w:after="0" w:line="240" w:lineRule="auto"/>
              <w:ind w:left="100"/>
              <w:jc w:val="both"/>
              <w:rPr>
                <w:rFonts w:ascii="Times New Roman" w:eastAsia="Times New Roman" w:hAnsi="Times New Roman" w:cs="Times New Roman"/>
                <w:sz w:val="20"/>
                <w:szCs w:val="20"/>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A77AE" w:rsidTr="008A77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7AE" w:rsidTr="008A77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A77AE" w:rsidRDefault="008A77AE" w:rsidP="00ED3F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A77AE" w:rsidTr="008A77AE">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77AE" w:rsidRDefault="008A77AE" w:rsidP="00ED3F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A77AE" w:rsidTr="008A77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7AE" w:rsidRDefault="008A77AE" w:rsidP="00ED3F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AE" w:rsidRDefault="008A77AE" w:rsidP="00ED3F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77AE" w:rsidRPr="00FB0C11" w:rsidRDefault="008A77AE" w:rsidP="008A77AE">
      <w:pPr>
        <w:shd w:val="clear" w:color="auto" w:fill="FFFFFF"/>
        <w:spacing w:before="120" w:after="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A77AE" w:rsidRDefault="008A77AE" w:rsidP="008A77AE">
      <w:pPr>
        <w:shd w:val="clear" w:color="auto" w:fill="FFFFFF"/>
        <w:spacing w:after="0" w:line="240" w:lineRule="auto"/>
        <w:rPr>
          <w:rFonts w:ascii="Times New Roman" w:eastAsia="Times New Roman" w:hAnsi="Times New Roman" w:cs="Times New Roman"/>
          <w:b/>
          <w:color w:val="000000"/>
          <w:sz w:val="20"/>
          <w:szCs w:val="20"/>
        </w:rPr>
      </w:pPr>
    </w:p>
    <w:p w:rsidR="008A77AE" w:rsidRDefault="008A77AE" w:rsidP="008A77AE">
      <w:pPr>
        <w:shd w:val="clear" w:color="auto" w:fill="FFFFFF"/>
        <w:spacing w:after="0" w:line="240" w:lineRule="auto"/>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10296" w:type="dxa"/>
        <w:tblInd w:w="-100" w:type="dxa"/>
        <w:tblLayout w:type="fixed"/>
        <w:tblCellMar>
          <w:left w:w="10" w:type="dxa"/>
          <w:right w:w="10" w:type="dxa"/>
        </w:tblCellMar>
        <w:tblLook w:val="0000" w:firstRow="0" w:lastRow="0" w:firstColumn="0" w:lastColumn="0" w:noHBand="0" w:noVBand="0"/>
      </w:tblPr>
      <w:tblGrid>
        <w:gridCol w:w="400"/>
        <w:gridCol w:w="9896"/>
      </w:tblGrid>
      <w:tr w:rsidR="008A77AE" w:rsidTr="008A77A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77AE" w:rsidRDefault="008A77AE" w:rsidP="00ED3FEC">
            <w:pPr>
              <w:spacing w:after="0" w:line="240" w:lineRule="auto"/>
              <w:ind w:left="100"/>
              <w:jc w:val="center"/>
            </w:pPr>
            <w:r>
              <w:rPr>
                <w:rFonts w:ascii="Times New Roman" w:eastAsia="Times New Roman" w:hAnsi="Times New Roman" w:cs="Times New Roman"/>
                <w:b/>
                <w:color w:val="000000"/>
                <w:sz w:val="20"/>
                <w:szCs w:val="20"/>
              </w:rPr>
              <w:t>Інші документи від Учасника:</w:t>
            </w:r>
          </w:p>
        </w:tc>
      </w:tr>
      <w:tr w:rsidR="008A77AE" w:rsidTr="008A77AE">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7AE" w:rsidRDefault="008A77AE" w:rsidP="00ED3FEC">
            <w:pPr>
              <w:spacing w:after="0" w:line="240" w:lineRule="auto"/>
              <w:ind w:left="100"/>
            </w:pPr>
            <w:r>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7AE" w:rsidRDefault="008A77AE" w:rsidP="00ED3FEC">
            <w:pPr>
              <w:spacing w:after="0" w:line="240" w:lineRule="auto"/>
              <w:ind w:left="100"/>
              <w:jc w:val="both"/>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A77AE" w:rsidTr="008A77AE">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7AE" w:rsidRDefault="008A77AE" w:rsidP="00ED3FEC">
            <w:pPr>
              <w:spacing w:before="240" w:after="0" w:line="240" w:lineRule="auto"/>
              <w:ind w:left="100"/>
            </w:pPr>
            <w:r>
              <w:rPr>
                <w:rFonts w:ascii="Times New Roman" w:eastAsia="Times New Roman" w:hAnsi="Times New Roman" w:cs="Times New Roman"/>
                <w:b/>
                <w:color w:val="000000"/>
                <w:sz w:val="20"/>
                <w:szCs w:val="20"/>
              </w:rPr>
              <w:lastRenderedPageBreak/>
              <w:t>2</w:t>
            </w:r>
          </w:p>
        </w:tc>
        <w:tc>
          <w:tcPr>
            <w:tcW w:w="98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7AE" w:rsidRDefault="008A77AE" w:rsidP="00ED3FEC">
            <w:pPr>
              <w:spacing w:after="0" w:line="240" w:lineRule="auto"/>
              <w:ind w:left="100" w:right="120" w:hanging="20"/>
              <w:jc w:val="both"/>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A77AE" w:rsidRDefault="008A77AE" w:rsidP="00ED3FEC">
            <w:pPr>
              <w:spacing w:after="0" w:line="240" w:lineRule="auto"/>
              <w:ind w:left="100" w:right="120" w:hanging="20"/>
              <w:jc w:val="both"/>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A77AE" w:rsidTr="008A77AE">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7AE" w:rsidRDefault="008A77AE" w:rsidP="00ED3FEC">
            <w:pPr>
              <w:spacing w:before="240" w:after="0" w:line="240" w:lineRule="auto"/>
              <w:ind w:left="100"/>
            </w:pPr>
            <w:r>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77AE" w:rsidRDefault="008A77AE" w:rsidP="00ED3F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A77AE" w:rsidRDefault="008A77AE" w:rsidP="00ED3FEC">
            <w:pPr>
              <w:spacing w:after="0" w:line="240" w:lineRule="auto"/>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A77AE" w:rsidRDefault="008A77AE" w:rsidP="008A77AE">
      <w:pPr>
        <w:pStyle w:val="Standard"/>
        <w:spacing w:before="240" w:after="0" w:line="240" w:lineRule="auto"/>
        <w:jc w:val="both"/>
      </w:pPr>
    </w:p>
    <w:p w:rsidR="00A62366" w:rsidRPr="00A62366" w:rsidRDefault="00A62366" w:rsidP="00A62366">
      <w:pPr>
        <w:spacing w:before="240" w:after="0" w:line="240" w:lineRule="auto"/>
        <w:jc w:val="both"/>
        <w:rPr>
          <w:rFonts w:ascii="Times New Roman" w:eastAsia="Times New Roman" w:hAnsi="Times New Roman" w:cs="Times New Roman"/>
          <w:bCs/>
          <w:i/>
          <w:iCs/>
          <w:sz w:val="20"/>
          <w:szCs w:val="20"/>
          <w:lang w:val="uk-UA"/>
        </w:rPr>
      </w:pPr>
      <w:r w:rsidRPr="00A62366">
        <w:rPr>
          <w:rFonts w:ascii="Times New Roman" w:eastAsia="Times New Roman" w:hAnsi="Times New Roman" w:cs="Times New Roman"/>
          <w:bCs/>
          <w:i/>
          <w:iCs/>
          <w:sz w:val="20"/>
          <w:szCs w:val="20"/>
          <w:lang w:val="uk-UA"/>
        </w:rPr>
        <w:t>.</w:t>
      </w:r>
    </w:p>
    <w:p w:rsidR="00A62366" w:rsidRPr="00A62366" w:rsidRDefault="00A62366">
      <w:pPr>
        <w:spacing w:before="240" w:after="0" w:line="240" w:lineRule="auto"/>
        <w:jc w:val="both"/>
        <w:rPr>
          <w:rFonts w:ascii="Times New Roman" w:eastAsia="Times New Roman" w:hAnsi="Times New Roman" w:cs="Times New Roman"/>
          <w:sz w:val="20"/>
          <w:szCs w:val="20"/>
          <w:lang w:val="uk-UA"/>
        </w:rPr>
      </w:pPr>
    </w:p>
    <w:sectPr w:rsidR="00A62366" w:rsidRPr="00A62366" w:rsidSect="008A77AE">
      <w:pgSz w:w="11906" w:h="16838"/>
      <w:pgMar w:top="850" w:right="850" w:bottom="568"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2503"/>
    <w:multiLevelType w:val="multilevel"/>
    <w:tmpl w:val="1F6251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71D587B"/>
    <w:multiLevelType w:val="hybridMultilevel"/>
    <w:tmpl w:val="19F67936"/>
    <w:lvl w:ilvl="0" w:tplc="E940C0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2040329"/>
    <w:multiLevelType w:val="multilevel"/>
    <w:tmpl w:val="DACC4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2"/>
    <w:rsid w:val="00151DF5"/>
    <w:rsid w:val="001672B0"/>
    <w:rsid w:val="00171242"/>
    <w:rsid w:val="002139E5"/>
    <w:rsid w:val="00285992"/>
    <w:rsid w:val="0042781A"/>
    <w:rsid w:val="004F0854"/>
    <w:rsid w:val="00590ED2"/>
    <w:rsid w:val="006A511B"/>
    <w:rsid w:val="008A77AE"/>
    <w:rsid w:val="008C1732"/>
    <w:rsid w:val="0098679B"/>
    <w:rsid w:val="00994C62"/>
    <w:rsid w:val="009E72EB"/>
    <w:rsid w:val="00A62366"/>
    <w:rsid w:val="00BB1546"/>
    <w:rsid w:val="00C870B0"/>
    <w:rsid w:val="00D1013C"/>
    <w:rsid w:val="00E92E99"/>
    <w:rsid w:val="00F067AA"/>
    <w:rsid w:val="00F8158E"/>
    <w:rsid w:val="00F826C6"/>
    <w:rsid w:val="00FB0C11"/>
    <w:rsid w:val="00FC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37C92-329C-45E1-B193-77744A95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10">
    <w:name w:val="Без интервала1"/>
    <w:link w:val="af"/>
    <w:rsid w:val="00E92E99"/>
    <w:pPr>
      <w:spacing w:after="0" w:line="240" w:lineRule="auto"/>
    </w:pPr>
    <w:rPr>
      <w:rFonts w:cs="Times New Roman"/>
      <w:szCs w:val="20"/>
      <w:lang w:val="uk-UA" w:eastAsia="en-US"/>
    </w:rPr>
  </w:style>
  <w:style w:type="character" w:customStyle="1" w:styleId="af">
    <w:name w:val="Без интервала Знак"/>
    <w:link w:val="10"/>
    <w:locked/>
    <w:rsid w:val="00E92E99"/>
    <w:rPr>
      <w:rFonts w:cs="Times New Roman"/>
      <w:szCs w:val="20"/>
      <w:lang w:val="uk-UA" w:eastAsia="en-US"/>
    </w:rPr>
  </w:style>
  <w:style w:type="paragraph" w:customStyle="1" w:styleId="Standard">
    <w:name w:val="Standard"/>
    <w:rsid w:val="008A77AE"/>
    <w:pPr>
      <w:suppressAutoHyphens/>
      <w:autoSpaceDN w:val="0"/>
      <w:spacing w:line="244" w:lineRule="auto"/>
      <w:textAlignment w:val="baseline"/>
    </w:pPr>
    <w:rPr>
      <w:kern w:val="3"/>
    </w:rPr>
  </w:style>
  <w:style w:type="paragraph" w:styleId="af0">
    <w:name w:val="Balloon Text"/>
    <w:basedOn w:val="a"/>
    <w:link w:val="af1"/>
    <w:uiPriority w:val="99"/>
    <w:semiHidden/>
    <w:unhideWhenUsed/>
    <w:rsid w:val="00D1013C"/>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D1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12935</Words>
  <Characters>7374</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TPCUser</cp:lastModifiedBy>
  <cp:revision>5</cp:revision>
  <cp:lastPrinted>2024-05-03T11:12:00Z</cp:lastPrinted>
  <dcterms:created xsi:type="dcterms:W3CDTF">2024-05-03T06:03:00Z</dcterms:created>
  <dcterms:modified xsi:type="dcterms:W3CDTF">2024-05-03T11:12:00Z</dcterms:modified>
</cp:coreProperties>
</file>