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31EBE5BD" w14:textId="78EE38BA"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ПРОТОКОЛОМ №</w:t>
      </w:r>
      <w:r w:rsidRPr="00605F0B">
        <w:rPr>
          <w:b/>
          <w:position w:val="0"/>
          <w:lang w:val="uk-UA" w:eastAsia="en-US"/>
        </w:rPr>
        <w:t xml:space="preserve"> </w:t>
      </w:r>
      <w:r w:rsidRPr="00E074BE">
        <w:rPr>
          <w:b/>
          <w:position w:val="0"/>
          <w:lang w:val="uk-UA" w:eastAsia="en-US"/>
        </w:rPr>
        <w:t xml:space="preserve">№ </w:t>
      </w:r>
      <w:r>
        <w:rPr>
          <w:b/>
          <w:position w:val="0"/>
          <w:lang w:val="uk-UA" w:eastAsia="en-US"/>
        </w:rPr>
        <w:t>10</w:t>
      </w:r>
      <w:r w:rsidR="00854431">
        <w:rPr>
          <w:b/>
          <w:position w:val="0"/>
          <w:lang w:val="uk-UA" w:eastAsia="en-US"/>
        </w:rPr>
        <w:t>3</w:t>
      </w:r>
      <w:r w:rsidRPr="00E074BE">
        <w:rPr>
          <w:b/>
          <w:position w:val="0"/>
          <w:lang w:val="uk-UA" w:eastAsia="en-US"/>
        </w:rPr>
        <w:t>-2023 (Б)</w:t>
      </w:r>
      <w:r>
        <w:rPr>
          <w:b/>
          <w:position w:val="0"/>
          <w:lang w:val="uk-UA" w:eastAsia="en-US"/>
        </w:rPr>
        <w:t xml:space="preserve"> від 0</w:t>
      </w:r>
      <w:r w:rsidR="00854431">
        <w:rPr>
          <w:b/>
          <w:position w:val="0"/>
          <w:lang w:val="uk-UA" w:eastAsia="en-US"/>
        </w:rPr>
        <w:t>5</w:t>
      </w:r>
      <w:bookmarkStart w:id="0" w:name="_GoBack"/>
      <w:bookmarkEnd w:id="0"/>
      <w:r>
        <w:rPr>
          <w:b/>
          <w:position w:val="0"/>
          <w:lang w:val="uk-UA" w:eastAsia="en-US"/>
        </w:rPr>
        <w:t>.11.2023</w:t>
      </w:r>
    </w:p>
    <w:p w14:paraId="320D2B46" w14:textId="1C9597C3"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УПОВНОВАЖЕНОЇ ОСОБИ</w:t>
      </w:r>
    </w:p>
    <w:p w14:paraId="02DF4EC3" w14:textId="41D94B97"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51BF9D0F" w14:textId="77777777"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5D8A2872" w14:textId="74CB19DD" w:rsidR="00DB073E" w:rsidRDefault="00854431"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2EAC1F42" w14:textId="77777777" w:rsidR="00854431" w:rsidRDefault="00854431"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6C065FFA"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за предметом закупівлі </w:t>
      </w:r>
      <w:r w:rsidRPr="00DB073E">
        <w:rPr>
          <w:b/>
          <w:bCs/>
          <w:position w:val="0"/>
          <w:sz w:val="28"/>
          <w:szCs w:val="28"/>
          <w:lang w:val="uk-UA" w:eastAsia="en-US"/>
        </w:rPr>
        <w:t>«Електрична енергія; 09310000-5 - Електрична енергія за ДК 021:2015 Єдиного закупівельного словника»</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77777777" w:rsidR="00854431" w:rsidRPr="00605F0B"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854431"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7E76133A" w14:textId="4D4E098A" w:rsidR="00DB1DFB" w:rsidRPr="00605F0B" w:rsidRDefault="000D7136" w:rsidP="00605F0B">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57D567D" w:rsidR="00DB1DFB" w:rsidRPr="00B93B06" w:rsidRDefault="000D7136" w:rsidP="00605F0B">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13FEBB6D" w:rsidR="0005402A" w:rsidRPr="00605F0B" w:rsidRDefault="00605F0B" w:rsidP="00605F0B">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0005402A" w:rsidRPr="00605F0B">
              <w:rPr>
                <w:position w:val="0"/>
                <w:lang w:val="uk-UA"/>
              </w:rPr>
              <w:t>- фахівець з публічних закупівель, уповноважена особа</w:t>
            </w:r>
          </w:p>
          <w:p w14:paraId="20A82059" w14:textId="77777777" w:rsidR="0005402A" w:rsidRPr="00605F0B" w:rsidRDefault="0005402A" w:rsidP="00605F0B">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6CEDA815" w:rsidR="00DB1DFB" w:rsidRPr="00605F0B" w:rsidRDefault="0005402A" w:rsidP="00605F0B">
            <w:pPr>
              <w:pBdr>
                <w:top w:val="nil"/>
                <w:left w:val="nil"/>
                <w:bottom w:val="nil"/>
                <w:right w:val="nil"/>
                <w:between w:val="nil"/>
              </w:pBdr>
              <w:spacing w:line="240" w:lineRule="auto"/>
              <w:ind w:left="0" w:hanging="2"/>
              <w:jc w:val="both"/>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proofErr w:type="spellStart"/>
            <w:r w:rsidRPr="00605F0B">
              <w:rPr>
                <w:position w:val="0"/>
                <w:lang w:val="en-US" w:eastAsia="en-US"/>
              </w:rPr>
              <w:t>goroo</w:t>
            </w:r>
            <w:proofErr w:type="spellEnd"/>
            <w:r w:rsidRPr="00605F0B">
              <w:rPr>
                <w:position w:val="0"/>
                <w:lang w:val="uk-UA" w:eastAsia="en-US"/>
              </w:rPr>
              <w:t>@</w:t>
            </w:r>
            <w:proofErr w:type="spellStart"/>
            <w:r w:rsidRPr="00605F0B">
              <w:rPr>
                <w:position w:val="0"/>
                <w:lang w:val="en-US" w:eastAsia="en-US"/>
              </w:rPr>
              <w:t>gmail</w:t>
            </w:r>
            <w:proofErr w:type="spellEnd"/>
            <w:r w:rsidRPr="00605F0B">
              <w:rPr>
                <w:position w:val="0"/>
                <w:lang w:val="uk-UA" w:eastAsia="en-US"/>
              </w:rPr>
              <w:t>.</w:t>
            </w:r>
            <w:r w:rsidRPr="00605F0B">
              <w:rPr>
                <w:position w:val="0"/>
                <w:lang w:val="en-US" w:eastAsia="en-US"/>
              </w:rPr>
              <w:t>com</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0D9D7A9C" w:rsidR="00DB1DFB" w:rsidRPr="00DB073E" w:rsidRDefault="00DB073E" w:rsidP="00605F0B">
            <w:pPr>
              <w:pStyle w:val="Default"/>
              <w:jc w:val="both"/>
              <w:rPr>
                <w:b/>
                <w:bCs/>
                <w:sz w:val="23"/>
                <w:szCs w:val="23"/>
                <w:lang w:val="uk-UA"/>
              </w:rPr>
            </w:pPr>
            <w:r w:rsidRPr="00DB073E">
              <w:rPr>
                <w:b/>
                <w:bCs/>
                <w:sz w:val="23"/>
                <w:szCs w:val="23"/>
                <w:lang w:val="uk-UA"/>
              </w:rPr>
              <w:t>«Електрична енергія; 09310000-5 - Електрична енергія за ДК 021:2015 Єдиного закупівельного словника»</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2D64C615" w14:textId="426BC461" w:rsidR="008A5C1B" w:rsidRDefault="008A5C1B" w:rsidP="008A5C1B">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Pr="008A5C1B">
              <w:rPr>
                <w:b/>
                <w:bCs/>
                <w:color w:val="000000"/>
                <w:lang w:val="uk-UA"/>
              </w:rPr>
              <w:t>:</w:t>
            </w:r>
            <w:r>
              <w:rPr>
                <w:color w:val="000000"/>
                <w:lang w:val="uk-UA"/>
              </w:rPr>
              <w:t xml:space="preserve"> </w:t>
            </w:r>
            <w:r w:rsidR="00DB073E">
              <w:rPr>
                <w:color w:val="000000"/>
                <w:lang w:val="uk-UA"/>
              </w:rPr>
              <w:t xml:space="preserve">у </w:t>
            </w:r>
            <w:r w:rsidR="00DB073E" w:rsidRPr="00DB073E">
              <w:rPr>
                <w:color w:val="000000"/>
                <w:lang w:val="uk-UA"/>
              </w:rPr>
              <w:t xml:space="preserve">заклади </w:t>
            </w:r>
            <w:r w:rsidR="00653FCB">
              <w:rPr>
                <w:color w:val="000000"/>
                <w:lang w:val="uk-UA"/>
              </w:rPr>
              <w:t xml:space="preserve">дошкільної </w:t>
            </w:r>
            <w:r w:rsidR="00DB073E" w:rsidRPr="00DB073E">
              <w:rPr>
                <w:color w:val="000000"/>
                <w:lang w:val="uk-UA"/>
              </w:rPr>
              <w:t>освіти Ізмаїльської міської ради Ізмаїльського району Одеської області</w:t>
            </w:r>
            <w:r w:rsidR="00DB073E">
              <w:rPr>
                <w:color w:val="000000"/>
                <w:lang w:val="uk-UA"/>
              </w:rPr>
              <w:t xml:space="preserve"> (згідно </w:t>
            </w:r>
            <w:r w:rsidR="00DB073E" w:rsidRPr="005C7785">
              <w:rPr>
                <w:b/>
                <w:bCs/>
                <w:i/>
                <w:iCs/>
                <w:color w:val="000000"/>
                <w:lang w:val="uk-UA"/>
              </w:rPr>
              <w:t>Додатку 2 до Тендерної документації</w:t>
            </w:r>
            <w:r w:rsidR="00DB073E">
              <w:rPr>
                <w:color w:val="000000"/>
                <w:lang w:val="uk-UA"/>
              </w:rPr>
              <w:t>)</w:t>
            </w:r>
            <w:r>
              <w:rPr>
                <w:color w:val="000000"/>
                <w:lang w:val="uk-UA"/>
              </w:rPr>
              <w:t xml:space="preserve"> </w:t>
            </w:r>
          </w:p>
          <w:p w14:paraId="5DD05ABD" w14:textId="7889BA7A" w:rsidR="00DB1DFB" w:rsidRPr="0011793A" w:rsidRDefault="005C7785" w:rsidP="008A5C1B">
            <w:pPr>
              <w:pBdr>
                <w:top w:val="nil"/>
                <w:left w:val="nil"/>
                <w:bottom w:val="nil"/>
                <w:right w:val="nil"/>
                <w:between w:val="nil"/>
              </w:pBdr>
              <w:spacing w:line="240" w:lineRule="auto"/>
              <w:ind w:left="0" w:hanging="2"/>
              <w:jc w:val="both"/>
              <w:rPr>
                <w:color w:val="000000"/>
                <w:lang w:val="uk-UA"/>
              </w:rPr>
            </w:pPr>
            <w:r>
              <w:rPr>
                <w:b/>
                <w:bCs/>
                <w:color w:val="000000"/>
                <w:lang w:val="uk-UA"/>
              </w:rPr>
              <w:t>Планові о</w:t>
            </w:r>
            <w:r w:rsidR="008A5C1B" w:rsidRPr="008A5C1B">
              <w:rPr>
                <w:b/>
                <w:bCs/>
                <w:color w:val="000000"/>
                <w:lang w:val="uk-UA"/>
              </w:rPr>
              <w:t>бсяги:</w:t>
            </w:r>
            <w:r w:rsidR="008A5C1B">
              <w:rPr>
                <w:color w:val="000000"/>
                <w:lang w:val="uk-UA"/>
              </w:rPr>
              <w:t xml:space="preserve"> </w:t>
            </w:r>
            <w:r>
              <w:rPr>
                <w:color w:val="000000"/>
                <w:lang w:val="uk-UA"/>
              </w:rPr>
              <w:t>715 700 кВт*год.</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854431"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854431"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854431"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854431"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5EFA778A" w14:textId="77777777" w:rsidR="00DB073E"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04295D">
              <w:rPr>
                <w:color w:val="000000"/>
                <w:lang w:val="uk-UA"/>
              </w:rPr>
              <w:t xml:space="preserve">Відповідно до пункту 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w:t>
            </w:r>
            <w:r>
              <w:rPr>
                <w:color w:val="000000"/>
                <w:lang w:val="uk-UA"/>
              </w:rPr>
              <w:t>З</w:t>
            </w:r>
            <w:r w:rsidRPr="0004295D">
              <w:rPr>
                <w:color w:val="000000"/>
                <w:lang w:val="uk-UA"/>
              </w:rPr>
              <w:t>амовником не застосовуються</w:t>
            </w:r>
            <w:r w:rsidRPr="00F1378C">
              <w:rPr>
                <w:color w:val="000000"/>
                <w:lang w:val="uk-UA"/>
              </w:rPr>
              <w:t xml:space="preserve">. </w:t>
            </w:r>
          </w:p>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2) відомості про юридичну особу, яка є учасником процедури закупівлі, </w:t>
            </w:r>
            <w:proofErr w:type="spellStart"/>
            <w:r w:rsidRPr="00CE612F">
              <w:rPr>
                <w:color w:val="000000"/>
                <w:lang w:val="uk-UA"/>
              </w:rPr>
              <w:t>внесено</w:t>
            </w:r>
            <w:proofErr w:type="spellEnd"/>
            <w:r w:rsidRPr="00CE612F">
              <w:rPr>
                <w:color w:val="000000"/>
                <w:lang w:val="uk-UA"/>
              </w:rPr>
              <w:t xml:space="preserve">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 xml:space="preserve">дати певної події, вважатиметься наступний за днем відповідної події </w:t>
            </w:r>
            <w:r w:rsidRPr="00F1378C">
              <w:rPr>
                <w:lang w:val="uk-UA"/>
              </w:rPr>
              <w:lastRenderedPageBreak/>
              <w:t>календарний або робочий день, залежно від того, у яких днях (календарних чи робочих) обраховується відповідний строк.</w:t>
            </w:r>
          </w:p>
        </w:tc>
      </w:tr>
      <w:tr w:rsidR="00532A92" w:rsidRPr="005C7785"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Default="00532A92" w:rsidP="000239D0">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p w14:paraId="1E47774D" w14:textId="22C59317" w:rsidR="00DD6E53" w:rsidRPr="00DB6CD0" w:rsidRDefault="00DD6E53" w:rsidP="00CC777F">
            <w:pPr>
              <w:pBdr>
                <w:top w:val="nil"/>
                <w:left w:val="nil"/>
                <w:bottom w:val="nil"/>
                <w:right w:val="nil"/>
                <w:between w:val="nil"/>
              </w:pBdr>
              <w:spacing w:line="240" w:lineRule="auto"/>
              <w:ind w:left="0" w:hanging="2"/>
              <w:jc w:val="both"/>
              <w:rPr>
                <w:color w:val="000000"/>
                <w:lang w:val="uk-UA"/>
              </w:rPr>
            </w:pPr>
            <w:r>
              <w:rPr>
                <w:color w:val="000000"/>
                <w:lang w:val="uk-UA"/>
              </w:rPr>
              <w:t xml:space="preserve">Учасник </w:t>
            </w:r>
            <w:r w:rsidR="00CC777F">
              <w:rPr>
                <w:color w:val="000000"/>
                <w:lang w:val="uk-UA"/>
              </w:rPr>
              <w:t>має надати г</w:t>
            </w:r>
            <w:r w:rsidRPr="00DD6E53">
              <w:rPr>
                <w:color w:val="000000"/>
                <w:lang w:val="uk-UA"/>
              </w:rPr>
              <w:t>арантійний лист про згоду</w:t>
            </w:r>
            <w:r w:rsidR="00CC777F">
              <w:rPr>
                <w:color w:val="000000"/>
                <w:lang w:val="uk-UA"/>
              </w:rPr>
              <w:t xml:space="preserve"> з </w:t>
            </w:r>
            <w:r w:rsidR="00CC777F" w:rsidRPr="00CC777F">
              <w:rPr>
                <w:color w:val="000000"/>
                <w:lang w:val="uk-UA"/>
              </w:rPr>
              <w:t>технічним</w:t>
            </w:r>
            <w:r w:rsidR="00CC777F">
              <w:rPr>
                <w:color w:val="000000"/>
                <w:lang w:val="uk-UA"/>
              </w:rPr>
              <w:t>и</w:t>
            </w:r>
            <w:r w:rsidR="00CC777F" w:rsidRPr="00CC777F">
              <w:rPr>
                <w:color w:val="000000"/>
                <w:lang w:val="uk-UA"/>
              </w:rPr>
              <w:t>, якісним</w:t>
            </w:r>
            <w:r w:rsidR="00CC777F">
              <w:rPr>
                <w:color w:val="000000"/>
                <w:lang w:val="uk-UA"/>
              </w:rPr>
              <w:t>и</w:t>
            </w:r>
            <w:r w:rsidR="00CC777F" w:rsidRPr="00CC777F">
              <w:rPr>
                <w:color w:val="000000"/>
                <w:lang w:val="uk-UA"/>
              </w:rPr>
              <w:t xml:space="preserve"> та кількісним</w:t>
            </w:r>
            <w:r w:rsidR="00CC777F">
              <w:rPr>
                <w:color w:val="000000"/>
                <w:lang w:val="uk-UA"/>
              </w:rPr>
              <w:t>и</w:t>
            </w:r>
            <w:r w:rsidR="00CC777F" w:rsidRPr="00CC777F">
              <w:rPr>
                <w:color w:val="000000"/>
                <w:lang w:val="uk-UA"/>
              </w:rPr>
              <w:t xml:space="preserve"> характеристикам</w:t>
            </w:r>
            <w:r w:rsidR="00CC777F">
              <w:rPr>
                <w:color w:val="000000"/>
                <w:lang w:val="uk-UA"/>
              </w:rPr>
              <w:t>и</w:t>
            </w:r>
            <w:r w:rsidR="00CC777F" w:rsidRPr="00CC777F">
              <w:rPr>
                <w:color w:val="000000"/>
                <w:lang w:val="uk-UA"/>
              </w:rPr>
              <w:t xml:space="preserve"> предмета закупівлі</w:t>
            </w:r>
            <w:r w:rsidRPr="00DD6E53">
              <w:rPr>
                <w:color w:val="000000"/>
                <w:lang w:val="uk-UA"/>
              </w:rPr>
              <w:t>, які будут</w:t>
            </w:r>
            <w:r w:rsidR="00CC777F">
              <w:rPr>
                <w:color w:val="000000"/>
                <w:lang w:val="uk-UA"/>
              </w:rPr>
              <w:t xml:space="preserve">ь </w:t>
            </w:r>
            <w:r w:rsidRPr="00DD6E53">
              <w:rPr>
                <w:color w:val="000000"/>
                <w:lang w:val="uk-UA"/>
              </w:rPr>
              <w:t>включені до договору про закупівлю</w:t>
            </w:r>
            <w:r w:rsidR="00CC777F">
              <w:rPr>
                <w:color w:val="000000"/>
                <w:lang w:val="uk-UA"/>
              </w:rPr>
              <w:t>.</w:t>
            </w:r>
          </w:p>
        </w:tc>
      </w:tr>
      <w:tr w:rsidR="00532A92" w:rsidRPr="00854431"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F1378C" w:rsidRDefault="00DB073E" w:rsidP="00605F0B">
            <w:pPr>
              <w:pBdr>
                <w:top w:val="nil"/>
                <w:left w:val="nil"/>
                <w:bottom w:val="nil"/>
                <w:right w:val="nil"/>
                <w:between w:val="nil"/>
              </w:pBdr>
              <w:spacing w:line="240" w:lineRule="auto"/>
              <w:ind w:left="0" w:hanging="2"/>
              <w:rPr>
                <w:b/>
                <w:bCs/>
                <w:color w:val="000000"/>
                <w:lang w:val="uk-UA"/>
              </w:rPr>
            </w:pPr>
            <w:r>
              <w:rPr>
                <w:b/>
                <w:bCs/>
                <w:color w:val="000000"/>
                <w:lang w:val="uk-UA"/>
              </w:rPr>
              <w:t>8</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1378C"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F1378C">
              <w:rPr>
                <w:color w:val="000000"/>
                <w:lang w:val="uk-UA"/>
              </w:rPr>
              <w:t xml:space="preserve">з особливостями </w:t>
            </w:r>
            <w:r w:rsidRPr="00F1378C">
              <w:rPr>
                <w:color w:val="000000"/>
                <w:lang w:val="uk-UA"/>
              </w:rPr>
              <w:t>в електронній сис</w:t>
            </w:r>
            <w:r w:rsidR="002E2E47" w:rsidRPr="00F1378C">
              <w:rPr>
                <w:color w:val="000000"/>
                <w:lang w:val="uk-UA"/>
              </w:rPr>
              <w:t>темі закупівель.</w:t>
            </w:r>
          </w:p>
          <w:p w14:paraId="0138AB03" w14:textId="48BE4934" w:rsidR="002E2E47" w:rsidRPr="00F1378C"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8972AF">
              <w:rPr>
                <w:b/>
                <w:position w:val="0"/>
                <w:lang w:val="uk-UA" w:eastAsia="en-US"/>
              </w:rPr>
              <w:t xml:space="preserve">Кінцевий строк подання тендерних пропозицій: </w:t>
            </w:r>
            <w:r w:rsidR="002E6F02" w:rsidRPr="008972AF">
              <w:rPr>
                <w:b/>
                <w:position w:val="0"/>
                <w:lang w:val="uk-UA" w:eastAsia="en-US"/>
              </w:rPr>
              <w:t xml:space="preserve">до 00:00 год. </w:t>
            </w:r>
            <w:r w:rsidRPr="008972AF">
              <w:rPr>
                <w:b/>
                <w:position w:val="0"/>
                <w:lang w:val="uk-UA" w:eastAsia="en-US"/>
              </w:rPr>
              <w:t>«</w:t>
            </w:r>
            <w:r w:rsidR="00263465" w:rsidRPr="008972AF">
              <w:rPr>
                <w:b/>
                <w:position w:val="0"/>
                <w:lang w:val="uk-UA" w:eastAsia="en-US"/>
              </w:rPr>
              <w:t>1</w:t>
            </w:r>
            <w:r w:rsidR="00970E0F">
              <w:rPr>
                <w:b/>
                <w:position w:val="0"/>
                <w:lang w:val="uk-UA" w:eastAsia="en-US"/>
              </w:rPr>
              <w:t>1</w:t>
            </w:r>
            <w:r w:rsidRPr="008972AF">
              <w:rPr>
                <w:b/>
                <w:position w:val="0"/>
                <w:lang w:val="uk-UA" w:eastAsia="en-US"/>
              </w:rPr>
              <w:t xml:space="preserve">» </w:t>
            </w:r>
            <w:r w:rsidR="008972AF" w:rsidRPr="008972AF">
              <w:rPr>
                <w:b/>
                <w:position w:val="0"/>
                <w:lang w:val="uk-UA" w:eastAsia="en-US"/>
              </w:rPr>
              <w:t>листопада</w:t>
            </w:r>
            <w:r w:rsidR="000239D0" w:rsidRPr="008972AF">
              <w:rPr>
                <w:b/>
                <w:position w:val="0"/>
                <w:lang w:val="uk-UA" w:eastAsia="en-US"/>
              </w:rPr>
              <w:t xml:space="preserve"> </w:t>
            </w:r>
            <w:r w:rsidR="00C86E05" w:rsidRPr="008972AF">
              <w:rPr>
                <w:b/>
                <w:position w:val="0"/>
                <w:lang w:val="uk-UA" w:eastAsia="en-US"/>
              </w:rPr>
              <w:t xml:space="preserve">2023 </w:t>
            </w:r>
            <w:r w:rsidRPr="008972AF">
              <w:rPr>
                <w:b/>
                <w:position w:val="0"/>
                <w:lang w:val="uk-UA" w:eastAsia="en-US"/>
              </w:rPr>
              <w:t>року</w:t>
            </w:r>
            <w:r w:rsidR="002E6F02" w:rsidRPr="008972AF">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Тенде</w:t>
            </w:r>
            <w:r w:rsidR="0005402A" w:rsidRPr="00F1378C">
              <w:rPr>
                <w:color w:val="000000"/>
                <w:lang w:val="uk-UA"/>
              </w:rPr>
              <w:t xml:space="preserve">рні </w:t>
            </w:r>
            <w:r w:rsidRPr="00F1378C">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854431"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854431"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3067C51E" w14:textId="7090BF64" w:rsidR="009717CB" w:rsidRDefault="00532A92"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3C7C5AA2" w14:textId="59AF47C1" w:rsidR="00497B4F" w:rsidRPr="00BC485C" w:rsidRDefault="00203459" w:rsidP="00497B4F">
            <w:pPr>
              <w:tabs>
                <w:tab w:val="left" w:pos="9355"/>
              </w:tabs>
              <w:suppressAutoHyphens w:val="0"/>
              <w:spacing w:line="240" w:lineRule="auto"/>
              <w:ind w:leftChars="0" w:left="0" w:firstLineChars="0" w:firstLine="0"/>
              <w:jc w:val="both"/>
              <w:textDirection w:val="lrTb"/>
              <w:textAlignment w:val="auto"/>
              <w:outlineLvl w:val="9"/>
              <w:rPr>
                <w:rFonts w:eastAsia="Calibri"/>
                <w:b/>
                <w:bCs/>
                <w:i/>
                <w:position w:val="0"/>
                <w:lang w:val="uk-UA" w:eastAsia="en-US"/>
              </w:rPr>
            </w:pPr>
            <w:r w:rsidRPr="008972AF">
              <w:rPr>
                <w:b/>
                <w:i/>
                <w:iCs/>
                <w:lang w:val="uk-UA"/>
              </w:rPr>
              <w:t xml:space="preserve">Керуючись абзацом першим частини 3 статті 22 Закону замовник з метою </w:t>
            </w:r>
            <w:r w:rsidR="00497B4F" w:rsidRPr="008972AF">
              <w:rPr>
                <w:rFonts w:eastAsia="Calibri"/>
                <w:b/>
                <w:bCs/>
                <w:i/>
                <w:position w:val="0"/>
                <w:lang w:val="uk-UA" w:eastAsia="en-US"/>
              </w:rPr>
              <w:t xml:space="preserve"> необґрунтованого</w:t>
            </w:r>
            <w:r w:rsidR="00497B4F" w:rsidRPr="00BC485C">
              <w:rPr>
                <w:rFonts w:eastAsia="Calibri"/>
                <w:b/>
                <w:bCs/>
                <w:i/>
                <w:position w:val="0"/>
                <w:lang w:val="uk-UA" w:eastAsia="en-US"/>
              </w:rPr>
              <w:t xml:space="preserve"> заниження (демпінгу) ціни пропозиції учасниками, Замовник для захисту свого планованого обсягу електричної енергії застосовує розрахунок </w:t>
            </w:r>
            <w:r>
              <w:rPr>
                <w:rFonts w:eastAsia="Calibri"/>
                <w:b/>
                <w:bCs/>
                <w:i/>
                <w:position w:val="0"/>
                <w:lang w:val="uk-UA" w:eastAsia="en-US"/>
              </w:rPr>
              <w:t>загальної вартості</w:t>
            </w:r>
            <w:r w:rsidR="00497B4F" w:rsidRPr="00BC485C">
              <w:rPr>
                <w:rFonts w:eastAsia="Calibri"/>
                <w:b/>
                <w:bCs/>
                <w:i/>
                <w:position w:val="0"/>
                <w:lang w:val="uk-UA" w:eastAsia="en-US"/>
              </w:rPr>
              <w:t xml:space="preserve"> пропозиції, який наведений нижче:</w:t>
            </w:r>
          </w:p>
          <w:p w14:paraId="09ADBFE3" w14:textId="6B37691B" w:rsidR="00497B4F" w:rsidRPr="008972AF" w:rsidRDefault="00497B4F" w:rsidP="00497B4F">
            <w:pPr>
              <w:suppressAutoHyphens w:val="0"/>
              <w:spacing w:line="240" w:lineRule="auto"/>
              <w:ind w:leftChars="0" w:left="0" w:firstLineChars="0" w:firstLine="0"/>
              <w:jc w:val="both"/>
              <w:textDirection w:val="lrTb"/>
              <w:textAlignment w:val="auto"/>
              <w:outlineLvl w:val="9"/>
              <w:rPr>
                <w:position w:val="0"/>
                <w:lang w:val="uk-UA" w:eastAsia="x-none"/>
              </w:rPr>
            </w:pPr>
            <w:r w:rsidRPr="008972AF">
              <w:rPr>
                <w:color w:val="000000"/>
                <w:position w:val="0"/>
                <w:lang w:val="uk-UA" w:eastAsia="x-none"/>
              </w:rPr>
              <w:t>Ціною є ціна електричної енергії, що включає вартість електроенергії на сегменті ринку (РДН)</w:t>
            </w:r>
            <w:r w:rsidRPr="008972AF">
              <w:rPr>
                <w:position w:val="0"/>
                <w:lang w:val="uk-UA" w:eastAsia="x-none"/>
              </w:rPr>
              <w:t xml:space="preserve"> у торговій зоні Об'єднана Енергетична Система України (ОЕС України</w:t>
            </w:r>
            <w:r w:rsidRPr="008972AF">
              <w:rPr>
                <w:color w:val="000000"/>
                <w:position w:val="0"/>
                <w:lang w:val="uk-UA" w:eastAsia="x-none"/>
              </w:rPr>
              <w:t xml:space="preserve">), оплату за  послуги з передачі електроенергії, </w:t>
            </w:r>
            <w:r w:rsidR="00203459" w:rsidRPr="008972AF">
              <w:rPr>
                <w:color w:val="000000"/>
                <w:position w:val="0"/>
                <w:lang w:val="uk-UA" w:eastAsia="x-none"/>
              </w:rPr>
              <w:t>вартість послуг постачальника</w:t>
            </w:r>
            <w:r w:rsidRPr="008972AF">
              <w:rPr>
                <w:color w:val="000000"/>
                <w:position w:val="0"/>
                <w:lang w:val="uk-UA" w:eastAsia="x-none"/>
              </w:rPr>
              <w:t xml:space="preserve">, </w:t>
            </w:r>
            <w:r w:rsidRPr="008972AF">
              <w:rPr>
                <w:position w:val="0"/>
                <w:lang w:val="uk-UA" w:eastAsia="x-none"/>
              </w:rPr>
              <w:t xml:space="preserve">небаланси споживача у випадку позитивної або негативної різниці фактичного та прогнозованого споживання електроенергії, </w:t>
            </w:r>
            <w:r w:rsidRPr="008972AF">
              <w:rPr>
                <w:color w:val="000000"/>
                <w:position w:val="0"/>
                <w:lang w:val="uk-UA" w:eastAsia="x-none"/>
              </w:rPr>
              <w:t>витрати на сплату податків.</w:t>
            </w:r>
          </w:p>
          <w:p w14:paraId="56B870E3" w14:textId="36BF2B59" w:rsidR="00C34E1D" w:rsidRPr="008972AF" w:rsidRDefault="00C34E1D" w:rsidP="00C34E1D">
            <w:pPr>
              <w:keepNext/>
              <w:keepLines/>
              <w:ind w:left="0" w:hanging="2"/>
              <w:jc w:val="both"/>
              <w:rPr>
                <w:lang w:val="uk-UA"/>
              </w:rPr>
            </w:pPr>
            <w:r w:rsidRPr="008972AF">
              <w:rPr>
                <w:lang w:val="uk-UA"/>
              </w:rPr>
              <w:t xml:space="preserve">Розрахунок загальної вартості  пропозиції, за яку </w:t>
            </w:r>
            <w:r w:rsidR="008972AF" w:rsidRPr="008972AF">
              <w:rPr>
                <w:lang w:val="uk-UA"/>
              </w:rPr>
              <w:t>у</w:t>
            </w:r>
            <w:r w:rsidRPr="008972AF">
              <w:rPr>
                <w:lang w:val="uk-UA"/>
              </w:rPr>
              <w:t xml:space="preserve">часник згоден виконати замовлення, розраховується та вноситься </w:t>
            </w:r>
            <w:r w:rsidR="008972AF" w:rsidRPr="008972AF">
              <w:rPr>
                <w:lang w:val="uk-UA"/>
              </w:rPr>
              <w:t>у</w:t>
            </w:r>
            <w:r w:rsidRPr="008972AF">
              <w:rPr>
                <w:lang w:val="uk-UA"/>
              </w:rPr>
              <w:t>часником на електронний майданчик наступним чином:</w:t>
            </w:r>
          </w:p>
          <w:p w14:paraId="4F9D53F7" w14:textId="43F1A4D2" w:rsidR="00C34E1D" w:rsidRPr="008972AF" w:rsidRDefault="00C34E1D" w:rsidP="00C34E1D">
            <w:pPr>
              <w:ind w:left="0" w:hanging="2"/>
              <w:jc w:val="center"/>
              <w:rPr>
                <w:lang w:val="uk-UA"/>
              </w:rPr>
            </w:pPr>
            <w:r w:rsidRPr="008972AF">
              <w:rPr>
                <w:b/>
                <w:bCs/>
                <w:lang w:val="uk-UA"/>
              </w:rPr>
              <w:t xml:space="preserve">Р =  </w:t>
            </w:r>
            <w:proofErr w:type="spellStart"/>
            <w:r w:rsidRPr="008972AF">
              <w:rPr>
                <w:b/>
                <w:bCs/>
                <w:lang w:val="uk-UA"/>
              </w:rPr>
              <w:t>Niплан</w:t>
            </w:r>
            <w:proofErr w:type="spellEnd"/>
            <w:r w:rsidRPr="008972AF">
              <w:rPr>
                <w:b/>
                <w:bCs/>
                <w:lang w:val="uk-UA"/>
              </w:rPr>
              <w:t xml:space="preserve"> * (</w:t>
            </w:r>
            <w:proofErr w:type="spellStart"/>
            <w:r w:rsidRPr="008972AF">
              <w:rPr>
                <w:b/>
                <w:bCs/>
                <w:lang w:val="uk-UA"/>
              </w:rPr>
              <w:t>Цпрогн.рдн</w:t>
            </w:r>
            <w:proofErr w:type="spellEnd"/>
            <w:r w:rsidRPr="008972AF">
              <w:rPr>
                <w:b/>
                <w:bCs/>
                <w:lang w:val="uk-UA"/>
              </w:rPr>
              <w:t xml:space="preserve">. + </w:t>
            </w:r>
            <w:proofErr w:type="spellStart"/>
            <w:r w:rsidRPr="008972AF">
              <w:rPr>
                <w:b/>
                <w:bCs/>
                <w:lang w:val="uk-UA"/>
              </w:rPr>
              <w:t>Тпост</w:t>
            </w:r>
            <w:proofErr w:type="spellEnd"/>
            <w:r w:rsidRPr="008972AF">
              <w:rPr>
                <w:b/>
                <w:bCs/>
                <w:lang w:val="uk-UA"/>
              </w:rPr>
              <w:t xml:space="preserve">.   + </w:t>
            </w:r>
            <w:proofErr w:type="spellStart"/>
            <w:r w:rsidRPr="008972AF">
              <w:rPr>
                <w:b/>
                <w:bCs/>
                <w:lang w:val="uk-UA"/>
              </w:rPr>
              <w:t>Тпер</w:t>
            </w:r>
            <w:proofErr w:type="spellEnd"/>
            <w:r w:rsidRPr="008972AF">
              <w:rPr>
                <w:b/>
                <w:bCs/>
                <w:lang w:val="uk-UA"/>
              </w:rPr>
              <w:t>.) * 1,2,</w:t>
            </w:r>
            <w:r w:rsidRPr="008972AF">
              <w:rPr>
                <w:lang w:val="uk-UA"/>
              </w:rPr>
              <w:t xml:space="preserve"> грн з ПДВ де,</w:t>
            </w:r>
          </w:p>
          <w:p w14:paraId="39FD57C7" w14:textId="5ECAC019" w:rsidR="000306E7" w:rsidRPr="008972AF" w:rsidRDefault="00C34E1D" w:rsidP="006D42A8">
            <w:pPr>
              <w:ind w:left="0" w:hanging="2"/>
              <w:jc w:val="both"/>
              <w:rPr>
                <w:lang w:val="uk-UA"/>
              </w:rPr>
            </w:pPr>
            <w:r w:rsidRPr="008972AF">
              <w:rPr>
                <w:b/>
                <w:bCs/>
                <w:lang w:val="uk-UA"/>
              </w:rPr>
              <w:t xml:space="preserve">Р </w:t>
            </w:r>
            <w:r w:rsidRPr="008972AF">
              <w:rPr>
                <w:lang w:val="uk-UA"/>
              </w:rPr>
              <w:t>– загальна вартість  пропозиції  у гривні (UAH),</w:t>
            </w:r>
          </w:p>
          <w:p w14:paraId="3900E429" w14:textId="284CDFFC" w:rsidR="00983D87" w:rsidRPr="006D42A8" w:rsidRDefault="00497B4F" w:rsidP="00497B4F">
            <w:pPr>
              <w:suppressAutoHyphens w:val="0"/>
              <w:spacing w:line="252" w:lineRule="auto"/>
              <w:ind w:leftChars="0" w:left="0" w:firstLineChars="0" w:firstLine="0"/>
              <w:textDirection w:val="lrTb"/>
              <w:textAlignment w:val="auto"/>
              <w:outlineLvl w:val="9"/>
              <w:rPr>
                <w:position w:val="0"/>
                <w:lang w:val="uk-UA" w:eastAsia="en-US"/>
              </w:rPr>
            </w:pPr>
            <w:proofErr w:type="spellStart"/>
            <w:r w:rsidRPr="008972AF">
              <w:rPr>
                <w:b/>
                <w:position w:val="0"/>
                <w:lang w:val="uk-UA" w:eastAsia="en-US"/>
              </w:rPr>
              <w:t>Niплан</w:t>
            </w:r>
            <w:proofErr w:type="spellEnd"/>
            <w:r w:rsidRPr="008972AF">
              <w:rPr>
                <w:position w:val="0"/>
                <w:lang w:val="uk-UA" w:eastAsia="en-US"/>
              </w:rPr>
              <w:t xml:space="preserve"> –  плановий обсяг закупівлі електричної енергії для відповідних об’єктів Замовника</w:t>
            </w:r>
            <w:r w:rsidR="00983D87" w:rsidRPr="008972AF">
              <w:rPr>
                <w:position w:val="0"/>
                <w:lang w:val="uk-UA" w:eastAsia="en-US"/>
              </w:rPr>
              <w:t xml:space="preserve"> 715 700</w:t>
            </w:r>
            <w:r w:rsidRPr="008972AF">
              <w:rPr>
                <w:position w:val="0"/>
                <w:lang w:val="uk-UA" w:eastAsia="en-US"/>
              </w:rPr>
              <w:t xml:space="preserve">  кВт*год.</w:t>
            </w:r>
          </w:p>
          <w:p w14:paraId="483640EC" w14:textId="5E38D19E" w:rsidR="000306E7" w:rsidRPr="000B13C9" w:rsidRDefault="00983D87" w:rsidP="006D42A8">
            <w:pPr>
              <w:keepNext/>
              <w:keepLines/>
              <w:ind w:left="0" w:hanging="2"/>
              <w:jc w:val="both"/>
              <w:rPr>
                <w:lang w:val="uk-UA"/>
              </w:rPr>
            </w:pPr>
            <w:proofErr w:type="spellStart"/>
            <w:r w:rsidRPr="006D42A8">
              <w:rPr>
                <w:b/>
                <w:bCs/>
                <w:lang w:val="uk-UA"/>
              </w:rPr>
              <w:t>Цпрогн.рдн</w:t>
            </w:r>
            <w:proofErr w:type="spellEnd"/>
            <w:r w:rsidRPr="006D42A8">
              <w:rPr>
                <w:b/>
                <w:bCs/>
                <w:lang w:val="uk-UA"/>
              </w:rPr>
              <w:t>.–</w:t>
            </w:r>
            <w:r w:rsidRPr="006D42A8">
              <w:rPr>
                <w:lang w:val="uk-UA"/>
              </w:rPr>
              <w:t xml:space="preserve"> ціна РДН, </w:t>
            </w:r>
            <w:r w:rsidRPr="000B13C9">
              <w:rPr>
                <w:lang w:val="uk-UA"/>
              </w:rPr>
              <w:t xml:space="preserve">яка для даної закупівлі становить </w:t>
            </w:r>
            <w:r w:rsidRPr="000B13C9">
              <w:rPr>
                <w:b/>
                <w:bCs/>
                <w:lang w:val="uk-UA"/>
              </w:rPr>
              <w:t>– 4,</w:t>
            </w:r>
            <w:r w:rsidR="005F2698" w:rsidRPr="000B13C9">
              <w:rPr>
                <w:b/>
                <w:bCs/>
                <w:lang w:val="uk-UA"/>
              </w:rPr>
              <w:t>6899</w:t>
            </w:r>
            <w:r w:rsidRPr="000B13C9">
              <w:rPr>
                <w:b/>
                <w:bCs/>
                <w:lang w:val="uk-UA"/>
              </w:rPr>
              <w:t xml:space="preserve">  грн. за 1 кВт/год без ПДВ, </w:t>
            </w:r>
            <w:r w:rsidRPr="00DD6E53">
              <w:rPr>
                <w:lang w:val="uk-UA"/>
              </w:rPr>
              <w:t xml:space="preserve">(визначена як середньозважена ціна на РДН (ОЕС України ) станом за </w:t>
            </w:r>
            <w:r w:rsidR="005F2698" w:rsidRPr="00DD6E53">
              <w:rPr>
                <w:lang w:val="uk-UA"/>
              </w:rPr>
              <w:t>жовте</w:t>
            </w:r>
            <w:r w:rsidRPr="00DD6E53">
              <w:rPr>
                <w:lang w:val="uk-UA"/>
              </w:rPr>
              <w:t xml:space="preserve">нь  2023 року – </w:t>
            </w:r>
            <w:r w:rsidR="005F2698" w:rsidRPr="00DD6E53">
              <w:rPr>
                <w:lang w:val="uk-UA"/>
              </w:rPr>
              <w:t>4,06558</w:t>
            </w:r>
            <w:r w:rsidRPr="00DD6E53">
              <w:rPr>
                <w:lang w:val="uk-UA"/>
              </w:rPr>
              <w:t xml:space="preserve">  грн за 1 кВт/год без ПДВ за даними</w:t>
            </w:r>
            <w:r w:rsidRPr="000B13C9">
              <w:rPr>
                <w:lang w:val="uk-UA"/>
              </w:rPr>
              <w:t xml:space="preserve"> </w:t>
            </w:r>
            <w:r w:rsidR="005F2698" w:rsidRPr="000B13C9">
              <w:rPr>
                <w:lang w:val="uk-UA"/>
              </w:rPr>
              <w:t>АТ</w:t>
            </w:r>
            <w:r w:rsidRPr="000B13C9">
              <w:rPr>
                <w:lang w:val="uk-UA"/>
              </w:rPr>
              <w:t xml:space="preserve"> «Оператор ринку» розміщеними на його веб-сайті </w:t>
            </w:r>
            <w:hyperlink r:id="rId9" w:history="1">
              <w:r w:rsidRPr="000B13C9">
                <w:rPr>
                  <w:rStyle w:val="a6"/>
                  <w:lang w:val="uk-UA"/>
                </w:rPr>
                <w:t>www.oree.com.ua</w:t>
              </w:r>
            </w:hyperlink>
            <w:r w:rsidRPr="000B13C9">
              <w:rPr>
                <w:lang w:val="uk-UA"/>
              </w:rPr>
              <w:t xml:space="preserve"> з врахуванням індикатора діапазону можливого коливання ціни (Замовник встановлює величину цього індикатора однакову для всіх </w:t>
            </w:r>
            <w:r w:rsidR="006D42A8" w:rsidRPr="000B13C9">
              <w:rPr>
                <w:lang w:val="uk-UA"/>
              </w:rPr>
              <w:t>у</w:t>
            </w:r>
            <w:r w:rsidRPr="000B13C9">
              <w:rPr>
                <w:lang w:val="uk-UA"/>
              </w:rPr>
              <w:t>часників);</w:t>
            </w:r>
          </w:p>
          <w:p w14:paraId="2F603805" w14:textId="70D8DE97" w:rsidR="00022A4B" w:rsidRPr="000B13C9" w:rsidRDefault="00022A4B" w:rsidP="00022A4B">
            <w:pPr>
              <w:ind w:left="0" w:hanging="2"/>
              <w:jc w:val="both"/>
              <w:rPr>
                <w:lang w:val="uk-UA"/>
              </w:rPr>
            </w:pPr>
            <w:proofErr w:type="spellStart"/>
            <w:r w:rsidRPr="000B13C9">
              <w:rPr>
                <w:b/>
                <w:bCs/>
                <w:lang w:val="uk-UA"/>
              </w:rPr>
              <w:t>Тпер</w:t>
            </w:r>
            <w:proofErr w:type="spellEnd"/>
            <w:r w:rsidRPr="000B13C9">
              <w:rPr>
                <w:b/>
                <w:bCs/>
                <w:lang w:val="uk-UA"/>
              </w:rPr>
              <w:t>.</w:t>
            </w:r>
            <w:r w:rsidRPr="000B13C9">
              <w:rPr>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0B13C9">
              <w:rPr>
                <w:shd w:val="clear" w:color="auto" w:fill="FFFFFF"/>
                <w:lang w:val="uk-UA"/>
              </w:rPr>
              <w:t xml:space="preserve">21.12.2022 </w:t>
            </w:r>
            <w:r w:rsidRPr="000B13C9">
              <w:rPr>
                <w:lang w:val="uk-UA"/>
              </w:rPr>
              <w:t xml:space="preserve">№ </w:t>
            </w:r>
            <w:r w:rsidRPr="000B13C9">
              <w:rPr>
                <w:shd w:val="clear" w:color="auto" w:fill="FFFFFF"/>
                <w:lang w:val="uk-UA"/>
              </w:rPr>
              <w:t>1788</w:t>
            </w:r>
            <w:r w:rsidRPr="000B13C9">
              <w:rPr>
                <w:lang w:val="uk-UA"/>
              </w:rPr>
              <w:t xml:space="preserve"> – </w:t>
            </w:r>
            <w:r w:rsidRPr="000B13C9">
              <w:rPr>
                <w:b/>
                <w:bCs/>
                <w:lang w:val="uk-UA"/>
              </w:rPr>
              <w:t>0,48510 грн. за 1 кВт/год без ПДВ</w:t>
            </w:r>
            <w:r w:rsidRPr="000B13C9">
              <w:rPr>
                <w:lang w:val="uk-UA"/>
              </w:rPr>
              <w:t>;</w:t>
            </w:r>
          </w:p>
          <w:p w14:paraId="79954E7C" w14:textId="77777777" w:rsidR="00497B4F" w:rsidRPr="000B13C9" w:rsidRDefault="00497B4F" w:rsidP="00497B4F">
            <w:pPr>
              <w:suppressAutoHyphens w:val="0"/>
              <w:spacing w:line="252" w:lineRule="auto"/>
              <w:ind w:leftChars="0" w:left="0" w:firstLineChars="0" w:firstLine="0"/>
              <w:jc w:val="both"/>
              <w:textDirection w:val="lrTb"/>
              <w:textAlignment w:val="auto"/>
              <w:outlineLvl w:val="9"/>
              <w:rPr>
                <w:position w:val="0"/>
                <w:lang w:val="uk-UA" w:eastAsia="en-US"/>
              </w:rPr>
            </w:pPr>
            <w:r w:rsidRPr="000B13C9">
              <w:rPr>
                <w:b/>
                <w:position w:val="0"/>
                <w:lang w:val="uk-UA" w:eastAsia="en-US"/>
              </w:rPr>
              <w:t>1,2</w:t>
            </w:r>
            <w:r w:rsidRPr="000B13C9">
              <w:rPr>
                <w:position w:val="0"/>
                <w:lang w:val="uk-UA" w:eastAsia="en-US"/>
              </w:rPr>
              <w:t xml:space="preserve"> – математичне вираження ставки податку на додану вартість (ПДВ - 20%);</w:t>
            </w:r>
          </w:p>
          <w:p w14:paraId="43B96AF6" w14:textId="72C56CF1" w:rsidR="00022A4B" w:rsidRPr="000B13C9" w:rsidRDefault="00022A4B" w:rsidP="00022A4B">
            <w:pPr>
              <w:ind w:left="0" w:hanging="2"/>
              <w:jc w:val="both"/>
              <w:rPr>
                <w:bCs/>
                <w:lang w:val="uk-UA"/>
              </w:rPr>
            </w:pPr>
            <w:proofErr w:type="spellStart"/>
            <w:r w:rsidRPr="000B13C9">
              <w:rPr>
                <w:b/>
                <w:bCs/>
                <w:lang w:val="uk-UA"/>
              </w:rPr>
              <w:t>Тпост</w:t>
            </w:r>
            <w:proofErr w:type="spellEnd"/>
            <w:r w:rsidRPr="000B13C9">
              <w:rPr>
                <w:b/>
                <w:bCs/>
                <w:lang w:val="uk-UA"/>
              </w:rPr>
              <w:t xml:space="preserve">. - </w:t>
            </w:r>
            <w:r w:rsidRPr="000B13C9">
              <w:rPr>
                <w:bCs/>
                <w:lang w:val="uk-UA"/>
              </w:rPr>
              <w:t xml:space="preserve">(вартість послуг </w:t>
            </w:r>
            <w:r w:rsidR="000B13C9" w:rsidRPr="000B13C9">
              <w:rPr>
                <w:bCs/>
                <w:lang w:val="uk-UA"/>
              </w:rPr>
              <w:t>учасника/</w:t>
            </w:r>
            <w:r w:rsidRPr="000B13C9">
              <w:rPr>
                <w:bCs/>
                <w:lang w:val="uk-UA"/>
              </w:rPr>
              <w:t>постачальника), що включає усі витрати постачальника, які необхідні для виконання постачальником умов цього договору, грн без ПДВ;</w:t>
            </w:r>
          </w:p>
          <w:p w14:paraId="4039CF3A" w14:textId="77777777" w:rsidR="006D42A8" w:rsidRPr="000B13C9" w:rsidRDefault="00A34C44" w:rsidP="00A34C44">
            <w:pPr>
              <w:widowControl w:val="0"/>
              <w:tabs>
                <w:tab w:val="left" w:pos="9639"/>
              </w:tabs>
              <w:ind w:left="0" w:hanging="2"/>
              <w:jc w:val="both"/>
              <w:rPr>
                <w:i/>
                <w:lang w:val="uk-UA"/>
              </w:rPr>
            </w:pPr>
            <w:r w:rsidRPr="000B13C9">
              <w:rPr>
                <w:b/>
                <w:bCs/>
                <w:i/>
                <w:lang w:val="uk-UA"/>
              </w:rPr>
              <w:t>Примітка</w:t>
            </w:r>
            <w:r w:rsidRPr="000B13C9">
              <w:rPr>
                <w:i/>
                <w:lang w:val="uk-UA"/>
              </w:rPr>
              <w:t xml:space="preserve">. </w:t>
            </w:r>
          </w:p>
          <w:p w14:paraId="19B7CD73" w14:textId="39DE0FF5" w:rsidR="006D42A8" w:rsidRPr="000B13C9" w:rsidRDefault="00A34C44" w:rsidP="00A34C44">
            <w:pPr>
              <w:widowControl w:val="0"/>
              <w:tabs>
                <w:tab w:val="left" w:pos="9639"/>
              </w:tabs>
              <w:ind w:left="0" w:hanging="2"/>
              <w:jc w:val="both"/>
              <w:rPr>
                <w:i/>
                <w:lang w:val="uk-UA"/>
              </w:rPr>
            </w:pPr>
            <w:proofErr w:type="spellStart"/>
            <w:r w:rsidRPr="000B13C9">
              <w:rPr>
                <w:b/>
                <w:bCs/>
                <w:lang w:val="uk-UA"/>
              </w:rPr>
              <w:t>Тпост</w:t>
            </w:r>
            <w:proofErr w:type="spellEnd"/>
            <w:r w:rsidRPr="000B13C9">
              <w:rPr>
                <w:b/>
                <w:bCs/>
                <w:lang w:val="uk-UA"/>
              </w:rPr>
              <w:t xml:space="preserve">. - </w:t>
            </w:r>
            <w:r w:rsidRPr="000B13C9">
              <w:rPr>
                <w:bCs/>
                <w:lang w:val="uk-UA"/>
              </w:rPr>
              <w:t xml:space="preserve">(вартість послуг </w:t>
            </w:r>
            <w:r w:rsidR="000B13C9" w:rsidRPr="000B13C9">
              <w:rPr>
                <w:bCs/>
                <w:lang w:val="uk-UA"/>
              </w:rPr>
              <w:t>учасника/</w:t>
            </w:r>
            <w:r w:rsidRPr="000B13C9">
              <w:rPr>
                <w:bCs/>
                <w:lang w:val="uk-UA"/>
              </w:rPr>
              <w:t xml:space="preserve">постачальника) </w:t>
            </w:r>
            <w:r w:rsidRPr="000B13C9">
              <w:rPr>
                <w:i/>
                <w:lang w:val="uk-UA"/>
              </w:rPr>
              <w:t>не може бути величиною від’ємною</w:t>
            </w:r>
            <w:r w:rsidR="006D42A8" w:rsidRPr="000B13C9">
              <w:rPr>
                <w:i/>
                <w:lang w:val="uk-UA"/>
              </w:rPr>
              <w:t xml:space="preserve"> </w:t>
            </w:r>
            <w:r w:rsidRPr="000B13C9">
              <w:rPr>
                <w:i/>
                <w:lang w:val="uk-UA"/>
              </w:rPr>
              <w:t>(</w:t>
            </w:r>
            <w:r w:rsidR="006D42A8" w:rsidRPr="000B13C9">
              <w:rPr>
                <w:i/>
                <w:lang w:val="uk-UA"/>
              </w:rPr>
              <w:t>у</w:t>
            </w:r>
            <w:r w:rsidRPr="000B13C9">
              <w:rPr>
                <w:i/>
                <w:lang w:val="uk-UA"/>
              </w:rPr>
              <w:t xml:space="preserve"> тому числі за результатами аукціону).  </w:t>
            </w:r>
          </w:p>
          <w:p w14:paraId="66A7A4CF" w14:textId="03C3B038" w:rsidR="006D42A8" w:rsidRPr="000B13C9" w:rsidRDefault="00A34C44" w:rsidP="00A34C44">
            <w:pPr>
              <w:widowControl w:val="0"/>
              <w:tabs>
                <w:tab w:val="left" w:pos="9639"/>
              </w:tabs>
              <w:ind w:left="0" w:hanging="2"/>
              <w:jc w:val="both"/>
              <w:rPr>
                <w:i/>
                <w:lang w:val="uk-UA"/>
              </w:rPr>
            </w:pPr>
            <w:r w:rsidRPr="000B13C9">
              <w:rPr>
                <w:i/>
                <w:lang w:val="uk-UA"/>
              </w:rPr>
              <w:t xml:space="preserve">З метою запобігання демпінгу серед </w:t>
            </w:r>
            <w:r w:rsidR="006D42A8" w:rsidRPr="000B13C9">
              <w:rPr>
                <w:i/>
                <w:lang w:val="uk-UA"/>
              </w:rPr>
              <w:t>у</w:t>
            </w:r>
            <w:r w:rsidRPr="000B13C9">
              <w:rPr>
                <w:i/>
                <w:lang w:val="uk-UA"/>
              </w:rPr>
              <w:t xml:space="preserve">часників </w:t>
            </w:r>
            <w:r w:rsidR="006D42A8" w:rsidRPr="000B13C9">
              <w:rPr>
                <w:i/>
                <w:lang w:val="uk-UA"/>
              </w:rPr>
              <w:t>З</w:t>
            </w:r>
            <w:r w:rsidRPr="000B13C9">
              <w:rPr>
                <w:i/>
                <w:lang w:val="uk-UA"/>
              </w:rPr>
              <w:t xml:space="preserve">амовник буде відхиляти пропозиції </w:t>
            </w:r>
            <w:r w:rsidR="006D42A8" w:rsidRPr="000B13C9">
              <w:rPr>
                <w:i/>
                <w:lang w:val="uk-UA"/>
              </w:rPr>
              <w:t>у</w:t>
            </w:r>
            <w:r w:rsidRPr="000B13C9">
              <w:rPr>
                <w:i/>
                <w:lang w:val="uk-UA"/>
              </w:rPr>
              <w:t xml:space="preserve">часників, в яких зазначена величина - </w:t>
            </w:r>
            <w:proofErr w:type="spellStart"/>
            <w:r w:rsidRPr="000B13C9">
              <w:rPr>
                <w:b/>
                <w:bCs/>
                <w:i/>
                <w:iCs/>
                <w:lang w:val="uk-UA"/>
              </w:rPr>
              <w:t>Тпост</w:t>
            </w:r>
            <w:proofErr w:type="spellEnd"/>
            <w:r w:rsidRPr="000B13C9">
              <w:rPr>
                <w:b/>
                <w:bCs/>
                <w:i/>
                <w:iCs/>
                <w:lang w:val="uk-UA"/>
              </w:rPr>
              <w:t>.</w:t>
            </w:r>
            <w:r w:rsidRPr="000B13C9">
              <w:rPr>
                <w:i/>
                <w:lang w:val="uk-UA"/>
              </w:rPr>
              <w:t xml:space="preserve"> буде від’ємна (в тому числі за результатами аукціону). </w:t>
            </w:r>
          </w:p>
          <w:p w14:paraId="0B1383BE" w14:textId="29E2BC43" w:rsidR="000D7342" w:rsidRPr="00CC777F" w:rsidRDefault="00A34C44" w:rsidP="00CC777F">
            <w:pPr>
              <w:widowControl w:val="0"/>
              <w:tabs>
                <w:tab w:val="left" w:pos="9639"/>
              </w:tabs>
              <w:ind w:left="0" w:hanging="2"/>
              <w:jc w:val="both"/>
              <w:rPr>
                <w:i/>
                <w:lang w:val="uk-UA"/>
              </w:rPr>
            </w:pPr>
            <w:r w:rsidRPr="000B13C9">
              <w:rPr>
                <w:i/>
                <w:lang w:val="uk-UA"/>
              </w:rPr>
              <w:t xml:space="preserve">Учасник надає гарантійний лист про те, що його загальна вартість пропозиції не буде містити від’ємне значення </w:t>
            </w:r>
            <w:proofErr w:type="spellStart"/>
            <w:r w:rsidRPr="000B13C9">
              <w:rPr>
                <w:b/>
                <w:bCs/>
                <w:i/>
                <w:lang w:val="uk-UA"/>
              </w:rPr>
              <w:t>Тпост</w:t>
            </w:r>
            <w:proofErr w:type="spellEnd"/>
            <w:r w:rsidRPr="000B13C9">
              <w:rPr>
                <w:b/>
                <w:bCs/>
                <w:i/>
                <w:lang w:val="uk-UA"/>
              </w:rPr>
              <w:t>.</w:t>
            </w:r>
            <w:r w:rsidR="006D42A8" w:rsidRPr="000B13C9">
              <w:rPr>
                <w:b/>
                <w:bCs/>
                <w:iCs/>
                <w:lang w:val="uk-UA"/>
              </w:rPr>
              <w:t xml:space="preserve"> </w:t>
            </w:r>
            <w:r w:rsidRPr="000B13C9">
              <w:rPr>
                <w:i/>
                <w:lang w:val="uk-UA"/>
              </w:rPr>
              <w:t xml:space="preserve">(вартість послуг </w:t>
            </w:r>
            <w:r w:rsidR="000B13C9" w:rsidRPr="000B13C9">
              <w:rPr>
                <w:i/>
                <w:lang w:val="uk-UA"/>
              </w:rPr>
              <w:t>учасника/п</w:t>
            </w:r>
            <w:r w:rsidRPr="000B13C9">
              <w:rPr>
                <w:i/>
                <w:lang w:val="uk-UA"/>
              </w:rPr>
              <w:t xml:space="preserve">остачальника), у тому числі за результатами аукціону. У  разі якщо величина </w:t>
            </w:r>
            <w:proofErr w:type="spellStart"/>
            <w:r w:rsidRPr="000B13C9">
              <w:rPr>
                <w:b/>
                <w:bCs/>
                <w:i/>
                <w:lang w:val="uk-UA"/>
              </w:rPr>
              <w:t>Тпост</w:t>
            </w:r>
            <w:proofErr w:type="spellEnd"/>
            <w:r w:rsidRPr="000B13C9">
              <w:rPr>
                <w:b/>
                <w:bCs/>
                <w:i/>
                <w:lang w:val="uk-UA"/>
              </w:rPr>
              <w:t>.</w:t>
            </w:r>
            <w:r w:rsidR="006D42A8" w:rsidRPr="000B13C9">
              <w:rPr>
                <w:i/>
                <w:lang w:val="uk-UA"/>
              </w:rPr>
              <w:t xml:space="preserve"> </w:t>
            </w:r>
            <w:r w:rsidRPr="000B13C9">
              <w:rPr>
                <w:i/>
                <w:lang w:val="uk-UA"/>
              </w:rPr>
              <w:t xml:space="preserve">за результатами аукціону </w:t>
            </w:r>
            <w:r w:rsidRPr="000B13C9">
              <w:rPr>
                <w:i/>
                <w:lang w:val="uk-UA"/>
              </w:rPr>
              <w:lastRenderedPageBreak/>
              <w:t>буде від’ємна, це буде вважатися відмовою від підписання договору про закупівлю.</w:t>
            </w:r>
          </w:p>
          <w:p w14:paraId="4F578C05" w14:textId="35D2CB13" w:rsidR="000D7342" w:rsidRPr="000B13C9" w:rsidRDefault="000D7342" w:rsidP="006D42A8">
            <w:pPr>
              <w:widowControl w:val="0"/>
              <w:ind w:left="0" w:hanging="2"/>
              <w:jc w:val="both"/>
              <w:rPr>
                <w:lang w:val="uk-UA"/>
              </w:rPr>
            </w:pPr>
            <w:r w:rsidRPr="000B13C9">
              <w:rPr>
                <w:lang w:val="uk-UA"/>
              </w:rPr>
              <w:t xml:space="preserve">Замовник визначає </w:t>
            </w:r>
            <w:proofErr w:type="spellStart"/>
            <w:r w:rsidRPr="000B13C9">
              <w:rPr>
                <w:b/>
                <w:bCs/>
                <w:lang w:val="uk-UA"/>
              </w:rPr>
              <w:t>Тпост</w:t>
            </w:r>
            <w:proofErr w:type="spellEnd"/>
            <w:r w:rsidRPr="000B13C9">
              <w:rPr>
                <w:b/>
                <w:bCs/>
                <w:lang w:val="uk-UA"/>
              </w:rPr>
              <w:t>.</w:t>
            </w:r>
            <w:r w:rsidR="006D42A8" w:rsidRPr="000B13C9">
              <w:rPr>
                <w:lang w:val="uk-UA"/>
              </w:rPr>
              <w:t xml:space="preserve"> </w:t>
            </w:r>
            <w:r w:rsidRPr="000B13C9">
              <w:rPr>
                <w:lang w:val="uk-UA"/>
              </w:rPr>
              <w:t xml:space="preserve">(вартість послуг </w:t>
            </w:r>
            <w:r w:rsidR="000B13C9" w:rsidRPr="000B13C9">
              <w:rPr>
                <w:lang w:val="uk-UA"/>
              </w:rPr>
              <w:t>учасника/п</w:t>
            </w:r>
            <w:r w:rsidRPr="000B13C9">
              <w:rPr>
                <w:lang w:val="uk-UA"/>
              </w:rPr>
              <w:t>остачальника),</w:t>
            </w:r>
            <w:r w:rsidR="006D42A8" w:rsidRPr="000B13C9">
              <w:rPr>
                <w:lang w:val="uk-UA"/>
              </w:rPr>
              <w:t xml:space="preserve"> </w:t>
            </w:r>
            <w:r w:rsidRPr="000B13C9">
              <w:rPr>
                <w:lang w:val="uk-UA"/>
              </w:rPr>
              <w:t xml:space="preserve">запропоновану </w:t>
            </w:r>
            <w:r w:rsidR="006D42A8" w:rsidRPr="000B13C9">
              <w:rPr>
                <w:lang w:val="uk-UA"/>
              </w:rPr>
              <w:t>у</w:t>
            </w:r>
            <w:r w:rsidRPr="000B13C9">
              <w:rPr>
                <w:lang w:val="uk-UA"/>
              </w:rPr>
              <w:t>часником, за формулою:</w:t>
            </w:r>
          </w:p>
          <w:p w14:paraId="6CA3719B" w14:textId="77777777" w:rsidR="000D7342" w:rsidRPr="000B13C9" w:rsidRDefault="000D7342" w:rsidP="000D7342">
            <w:pPr>
              <w:pStyle w:val="19"/>
              <w:tabs>
                <w:tab w:val="left" w:pos="600"/>
              </w:tabs>
              <w:spacing w:line="240" w:lineRule="auto"/>
              <w:ind w:hanging="2"/>
              <w:jc w:val="both"/>
              <w:rPr>
                <w:rFonts w:ascii="Times New Roman" w:hAnsi="Times New Roman" w:cs="Times New Roman"/>
                <w:color w:val="auto"/>
                <w:lang w:val="uk-UA"/>
              </w:rPr>
            </w:pPr>
          </w:p>
          <w:p w14:paraId="554A46B0" w14:textId="77777777" w:rsidR="000D7342" w:rsidRPr="000B13C9" w:rsidRDefault="000D7342" w:rsidP="000D7342">
            <w:pPr>
              <w:widowControl w:val="0"/>
              <w:ind w:left="0" w:hanging="2"/>
              <w:jc w:val="center"/>
              <w:rPr>
                <w:b/>
                <w:bCs/>
                <w:i/>
                <w:iCs/>
                <w:vertAlign w:val="subscript"/>
                <w:lang w:val="uk-UA"/>
              </w:rPr>
            </w:pPr>
            <w:bookmarkStart w:id="2" w:name="_Hlk149646559"/>
            <w:proofErr w:type="spellStart"/>
            <w:r w:rsidRPr="000B13C9">
              <w:rPr>
                <w:b/>
                <w:bCs/>
                <w:lang w:val="uk-UA"/>
              </w:rPr>
              <w:t>Тпост</w:t>
            </w:r>
            <w:proofErr w:type="spellEnd"/>
            <w:r w:rsidRPr="000B13C9">
              <w:rPr>
                <w:b/>
                <w:bCs/>
                <w:lang w:val="uk-UA"/>
              </w:rPr>
              <w:t xml:space="preserve">.  </w:t>
            </w:r>
            <w:r w:rsidRPr="000B13C9">
              <w:rPr>
                <w:b/>
                <w:bCs/>
                <w:i/>
                <w:iCs/>
                <w:lang w:val="uk-UA"/>
              </w:rPr>
              <w:t xml:space="preserve">= </w:t>
            </w:r>
            <w:r w:rsidRPr="000B13C9">
              <w:rPr>
                <w:b/>
                <w:bCs/>
                <w:iCs/>
                <w:lang w:val="uk-UA"/>
              </w:rPr>
              <w:fldChar w:fldCharType="begin"/>
            </w:r>
            <w:r w:rsidRPr="000B13C9">
              <w:rPr>
                <w:b/>
                <w:bCs/>
                <w:iCs/>
                <w:lang w:val="uk-UA"/>
              </w:rPr>
              <w:instrText xml:space="preserve"> QUOTE </w:instrText>
            </w:r>
            <w:r w:rsidR="00854431">
              <w:rPr>
                <w:b/>
                <w:bCs/>
                <w:position w:val="-12"/>
                <w:lang w:val="uk-UA"/>
              </w:rPr>
              <w:pict w14:anchorId="65C5F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equationxml="&lt;">
                  <v:imagedata r:id="rId10" o:title="" chromakey="white"/>
                </v:shape>
              </w:pict>
            </w:r>
            <w:r w:rsidRPr="000B13C9">
              <w:rPr>
                <w:b/>
                <w:bCs/>
                <w:iCs/>
                <w:lang w:val="uk-UA"/>
              </w:rPr>
              <w:instrText xml:space="preserve"> </w:instrText>
            </w:r>
            <w:r w:rsidRPr="000B13C9">
              <w:rPr>
                <w:b/>
                <w:bCs/>
                <w:iCs/>
                <w:lang w:val="uk-UA"/>
              </w:rPr>
              <w:fldChar w:fldCharType="separate"/>
            </w:r>
            <w:r w:rsidR="00854431">
              <w:rPr>
                <w:b/>
                <w:bCs/>
                <w:position w:val="-12"/>
                <w:lang w:val="uk-UA"/>
              </w:rPr>
              <w:pict w14:anchorId="76950E6E">
                <v:shape id="_x0000_i1026" type="#_x0000_t75" style="width:56.25pt;height:20.25pt" equationxml="&lt;">
                  <v:imagedata r:id="rId10" o:title="" chromakey="white"/>
                </v:shape>
              </w:pict>
            </w:r>
            <w:r w:rsidRPr="000B13C9">
              <w:rPr>
                <w:b/>
                <w:bCs/>
                <w:iCs/>
                <w:lang w:val="uk-UA"/>
              </w:rPr>
              <w:fldChar w:fldCharType="end"/>
            </w:r>
            <w:r w:rsidRPr="000B13C9">
              <w:rPr>
                <w:b/>
                <w:bCs/>
                <w:i/>
                <w:iCs/>
                <w:lang w:val="uk-UA"/>
              </w:rPr>
              <w:t xml:space="preserve"> - </w:t>
            </w:r>
            <w:proofErr w:type="spellStart"/>
            <w:r w:rsidRPr="000B13C9">
              <w:rPr>
                <w:b/>
                <w:bCs/>
                <w:i/>
                <w:iCs/>
                <w:lang w:val="uk-UA"/>
              </w:rPr>
              <w:t>Цпрогн.рдн</w:t>
            </w:r>
            <w:proofErr w:type="spellEnd"/>
            <w:r w:rsidRPr="000B13C9">
              <w:rPr>
                <w:b/>
                <w:bCs/>
                <w:i/>
                <w:iCs/>
                <w:lang w:val="uk-UA"/>
              </w:rPr>
              <w:t xml:space="preserve">. – </w:t>
            </w:r>
            <w:proofErr w:type="spellStart"/>
            <w:r w:rsidRPr="000B13C9">
              <w:rPr>
                <w:b/>
                <w:bCs/>
                <w:i/>
                <w:iCs/>
                <w:lang w:val="uk-UA"/>
              </w:rPr>
              <w:t>Тпер</w:t>
            </w:r>
            <w:proofErr w:type="spellEnd"/>
            <w:r w:rsidRPr="000B13C9">
              <w:rPr>
                <w:b/>
                <w:bCs/>
                <w:i/>
                <w:iCs/>
                <w:lang w:val="uk-UA"/>
              </w:rPr>
              <w:t xml:space="preserve">. </w:t>
            </w:r>
            <w:r w:rsidRPr="000B13C9">
              <w:rPr>
                <w:b/>
                <w:bCs/>
                <w:i/>
                <w:iCs/>
                <w:vertAlign w:val="subscript"/>
                <w:lang w:val="uk-UA"/>
              </w:rPr>
              <w:t>[грн./кВт/год без ПДВ]</w:t>
            </w:r>
          </w:p>
          <w:bookmarkEnd w:id="2"/>
          <w:p w14:paraId="793086ED" w14:textId="77777777" w:rsidR="000D7342" w:rsidRPr="000B13C9" w:rsidRDefault="000D7342" w:rsidP="00F476D7">
            <w:pPr>
              <w:ind w:leftChars="0" w:left="0" w:firstLineChars="0" w:firstLine="0"/>
              <w:rPr>
                <w:snapToGrid w:val="0"/>
                <w:lang w:val="uk-UA"/>
              </w:rPr>
            </w:pPr>
          </w:p>
          <w:p w14:paraId="66E9BF3E" w14:textId="713C1AF2" w:rsidR="00497B4F" w:rsidRPr="00CC777F" w:rsidRDefault="000D7342" w:rsidP="00CC777F">
            <w:pPr>
              <w:ind w:left="0" w:hanging="2"/>
              <w:jc w:val="both"/>
              <w:rPr>
                <w:i/>
                <w:iCs/>
                <w:snapToGrid w:val="0"/>
                <w:sz w:val="22"/>
                <w:szCs w:val="22"/>
                <w:lang w:val="uk-UA"/>
              </w:rPr>
            </w:pPr>
            <w:r w:rsidRPr="00CC777F">
              <w:rPr>
                <w:snapToGrid w:val="0"/>
                <w:sz w:val="22"/>
                <w:szCs w:val="22"/>
                <w:lang w:val="uk-UA"/>
              </w:rPr>
              <w:t>*</w:t>
            </w:r>
            <w:r w:rsidRPr="00CC777F">
              <w:rPr>
                <w:i/>
                <w:iCs/>
                <w:snapToGrid w:val="0"/>
                <w:sz w:val="22"/>
                <w:szCs w:val="22"/>
                <w:lang w:val="uk-UA"/>
              </w:rPr>
              <w:t xml:space="preserve">Зазначений розрахунок </w:t>
            </w:r>
            <w:r w:rsidRPr="00CC777F">
              <w:rPr>
                <w:i/>
                <w:iCs/>
                <w:sz w:val="22"/>
                <w:szCs w:val="22"/>
                <w:lang w:val="uk-UA"/>
              </w:rPr>
              <w:t xml:space="preserve">загальної вартості пропозиції, за яку </w:t>
            </w:r>
            <w:r w:rsidR="006D42A8" w:rsidRPr="00CC777F">
              <w:rPr>
                <w:i/>
                <w:iCs/>
                <w:sz w:val="22"/>
                <w:szCs w:val="22"/>
                <w:lang w:val="uk-UA"/>
              </w:rPr>
              <w:t>у</w:t>
            </w:r>
            <w:r w:rsidRPr="00CC777F">
              <w:rPr>
                <w:i/>
                <w:iCs/>
                <w:sz w:val="22"/>
                <w:szCs w:val="22"/>
                <w:lang w:val="uk-UA"/>
              </w:rPr>
              <w:t xml:space="preserve">часник згоден виконати замовлення, застосовується виключно для участі у відкритих торгах і не розповсюджує свою дію на формування ціни </w:t>
            </w:r>
            <w:r w:rsidR="000B13C9" w:rsidRPr="00CC777F">
              <w:rPr>
                <w:i/>
                <w:iCs/>
                <w:sz w:val="22"/>
                <w:szCs w:val="22"/>
                <w:lang w:val="uk-UA"/>
              </w:rPr>
              <w:t>д</w:t>
            </w:r>
            <w:r w:rsidRPr="00CC777F">
              <w:rPr>
                <w:i/>
                <w:iCs/>
                <w:sz w:val="22"/>
                <w:szCs w:val="22"/>
                <w:lang w:val="uk-UA"/>
              </w:rPr>
              <w:t>оговору.</w:t>
            </w:r>
          </w:p>
          <w:p w14:paraId="7C0B4620" w14:textId="3203A171" w:rsidR="00497B4F" w:rsidRPr="00CC777F" w:rsidRDefault="00BC485C" w:rsidP="00CC777F">
            <w:pPr>
              <w:suppressAutoHyphens w:val="0"/>
              <w:spacing w:line="240" w:lineRule="auto"/>
              <w:ind w:leftChars="0" w:left="0" w:firstLineChars="0" w:firstLine="0"/>
              <w:contextualSpacing/>
              <w:jc w:val="both"/>
              <w:textDirection w:val="lrTb"/>
              <w:textAlignment w:val="auto"/>
              <w:outlineLvl w:val="9"/>
              <w:rPr>
                <w:position w:val="0"/>
                <w:lang w:val="uk-UA"/>
              </w:rPr>
            </w:pPr>
            <w:r w:rsidRPr="000B13C9">
              <w:rPr>
                <w:position w:val="0"/>
                <w:lang w:val="uk-UA"/>
              </w:rPr>
              <w:t>Ціна тендерної пропозиції встановлюється учасником у відповідності до Закону України «Про ринок електричної енергії», має включати податок на додану вартість, якщо учасник є платником податку на додану вартість, інші податки та збори, що передбачені чинним законодавством, тариф на послуги з передачі електричної енергії, встановлений Постановою НКРЕКП від 21.12.2022 № 1788 «Про встановлення тарифу на послуги з передачі електричної енергії НЕК «УКРЕНЕРГО» не включаючи вартість послуг з розподілу електричної енергії, про що учасник надає гарантійний лист.</w:t>
            </w:r>
          </w:p>
          <w:p w14:paraId="64D35650" w14:textId="77777777"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w:t>
            </w:r>
            <w:r w:rsidR="007865C0">
              <w:rPr>
                <w:color w:val="000000"/>
                <w:lang w:val="uk-UA"/>
              </w:rPr>
              <w:t xml:space="preserve"> </w:t>
            </w:r>
            <w:r w:rsidRPr="00F1378C">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w:t>
            </w:r>
            <w:r w:rsidRPr="00F1378C">
              <w:rPr>
                <w:color w:val="000000"/>
                <w:lang w:val="uk-UA"/>
              </w:rPr>
              <w:lastRenderedPageBreak/>
              <w:t>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6885D030"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F1378C">
              <w:rPr>
                <w:color w:val="000000"/>
                <w:lang w:val="uk-UA"/>
              </w:rPr>
              <w:lastRenderedPageBreak/>
              <w:t>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854431"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854431" w:rsidRDefault="00854431" w:rsidP="00854431">
            <w:pPr>
              <w:pBdr>
                <w:top w:val="nil"/>
                <w:left w:val="nil"/>
                <w:bottom w:val="nil"/>
                <w:right w:val="nil"/>
                <w:between w:val="nil"/>
              </w:pBdr>
              <w:spacing w:line="240" w:lineRule="auto"/>
              <w:ind w:left="0" w:hanging="2"/>
              <w:jc w:val="both"/>
              <w:rPr>
                <w:color w:val="000000"/>
                <w:lang w:val="uk-UA"/>
              </w:rPr>
            </w:pPr>
            <w:r w:rsidRPr="00854431">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854431" w:rsidRDefault="00854431" w:rsidP="00854431">
            <w:pPr>
              <w:pBdr>
                <w:top w:val="nil"/>
                <w:left w:val="nil"/>
                <w:bottom w:val="nil"/>
                <w:right w:val="nil"/>
                <w:between w:val="nil"/>
              </w:pBdr>
              <w:spacing w:line="240" w:lineRule="auto"/>
              <w:ind w:left="0" w:hanging="2"/>
              <w:jc w:val="both"/>
              <w:rPr>
                <w:color w:val="000000"/>
                <w:lang w:val="uk-UA"/>
              </w:rPr>
            </w:pPr>
            <w:r w:rsidRPr="00854431">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F1378C" w:rsidRDefault="00854431" w:rsidP="00854431">
            <w:pPr>
              <w:pBdr>
                <w:top w:val="nil"/>
                <w:left w:val="nil"/>
                <w:bottom w:val="nil"/>
                <w:right w:val="nil"/>
                <w:between w:val="nil"/>
              </w:pBdr>
              <w:spacing w:line="240" w:lineRule="auto"/>
              <w:ind w:left="0" w:hanging="2"/>
              <w:jc w:val="both"/>
              <w:rPr>
                <w:color w:val="000000"/>
                <w:lang w:val="uk-UA"/>
              </w:rPr>
            </w:pPr>
            <w:r w:rsidRPr="00854431">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854431"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F476D7"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497B4F">
              <w:rPr>
                <w:rFonts w:eastAsia="Calibri"/>
                <w:b/>
                <w:position w:val="0"/>
                <w:lang w:val="uk-UA" w:eastAsia="uk-UA"/>
              </w:rPr>
              <w:t>Закупівля здійснюється на очікувану вартість на 202</w:t>
            </w:r>
            <w:r>
              <w:rPr>
                <w:rFonts w:eastAsia="Calibri"/>
                <w:b/>
                <w:position w:val="0"/>
                <w:lang w:val="uk-UA" w:eastAsia="uk-UA"/>
              </w:rPr>
              <w:t>4</w:t>
            </w:r>
            <w:r w:rsidRPr="00497B4F">
              <w:rPr>
                <w:rFonts w:eastAsia="Calibri"/>
                <w:b/>
                <w:position w:val="0"/>
                <w:lang w:val="uk-UA" w:eastAsia="uk-UA"/>
              </w:rPr>
              <w:t xml:space="preserve"> рік, відповідно після укладення договору </w:t>
            </w:r>
            <w:r w:rsidR="00DD6E53">
              <w:rPr>
                <w:rFonts w:eastAsia="Calibri"/>
                <w:b/>
                <w:position w:val="0"/>
                <w:lang w:val="uk-UA" w:eastAsia="uk-UA"/>
              </w:rPr>
              <w:t xml:space="preserve">планові </w:t>
            </w:r>
            <w:r w:rsidRPr="00497B4F">
              <w:rPr>
                <w:rFonts w:eastAsia="Calibri"/>
                <w:b/>
                <w:position w:val="0"/>
                <w:lang w:val="uk-UA" w:eastAsia="uk-UA"/>
              </w:rPr>
              <w:t>обсяги закупівлі можуть бути зменшені з урахуванням фактичного розміру</w:t>
            </w:r>
            <w:r w:rsidR="00E074BE">
              <w:rPr>
                <w:rFonts w:eastAsia="Calibri"/>
                <w:b/>
                <w:position w:val="0"/>
                <w:lang w:val="uk-UA" w:eastAsia="uk-UA"/>
              </w:rPr>
              <w:t xml:space="preserve"> </w:t>
            </w:r>
            <w:r w:rsidRPr="00497B4F">
              <w:rPr>
                <w:rFonts w:eastAsia="Calibri"/>
                <w:b/>
                <w:position w:val="0"/>
                <w:lang w:val="uk-UA" w:eastAsia="uk-UA"/>
              </w:rPr>
              <w:t>фінансування.</w:t>
            </w:r>
          </w:p>
          <w:p w14:paraId="216924C7" w14:textId="247ADF8E"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F1378C">
              <w:rPr>
                <w:color w:val="000000"/>
                <w:lang w:val="uk-UA"/>
              </w:rPr>
              <w:lastRenderedPageBreak/>
              <w:t>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5088512A" w14:textId="2989C94B" w:rsidR="00497B4F" w:rsidRPr="00F476D7" w:rsidRDefault="00497B4F" w:rsidP="00481EEA">
            <w:pPr>
              <w:pBdr>
                <w:top w:val="nil"/>
                <w:left w:val="nil"/>
                <w:bottom w:val="nil"/>
                <w:right w:val="nil"/>
                <w:between w:val="nil"/>
              </w:pBdr>
              <w:spacing w:line="240" w:lineRule="auto"/>
              <w:ind w:left="0" w:hanging="2"/>
              <w:jc w:val="both"/>
              <w:rPr>
                <w:color w:val="000000"/>
                <w:lang w:val="uk-UA"/>
              </w:rPr>
            </w:pPr>
            <w:r w:rsidRPr="00F476D7">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w:t>
            </w:r>
            <w:r w:rsidR="00497B4F">
              <w:rPr>
                <w:b/>
                <w:bCs/>
                <w:i/>
                <w:iCs/>
                <w:color w:val="000000"/>
                <w:lang w:val="uk-UA"/>
              </w:rPr>
              <w:t xml:space="preserve"> </w:t>
            </w:r>
            <w:r w:rsidR="00D6075D" w:rsidRPr="00F1378C">
              <w:rPr>
                <w:b/>
                <w:bCs/>
                <w:i/>
                <w:iCs/>
                <w:color w:val="000000"/>
                <w:lang w:val="uk-UA"/>
              </w:rPr>
              <w:t>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Default="00D6075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F1378C">
              <w:rPr>
                <w:color w:val="000000"/>
                <w:lang w:val="uk-UA"/>
              </w:rPr>
              <w:t>-</w:t>
            </w:r>
            <w:r w:rsidRPr="00F1378C">
              <w:rPr>
                <w:color w:val="000000"/>
                <w:lang w:val="uk-UA"/>
              </w:rPr>
              <w:t xml:space="preserve"> активи), якої</w:t>
            </w:r>
            <w:r w:rsidR="00224A0D" w:rsidRPr="00F1378C">
              <w:rPr>
                <w:color w:val="000000"/>
                <w:lang w:val="uk-UA"/>
              </w:rPr>
              <w:t xml:space="preserve"> </w:t>
            </w:r>
            <w:r w:rsidRPr="00F1378C">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F1378C" w:rsidRDefault="00F476D7" w:rsidP="00224A0D">
            <w:pPr>
              <w:pBdr>
                <w:top w:val="nil"/>
                <w:left w:val="nil"/>
                <w:bottom w:val="nil"/>
                <w:right w:val="nil"/>
                <w:between w:val="nil"/>
              </w:pBdr>
              <w:spacing w:line="240" w:lineRule="auto"/>
              <w:ind w:left="0" w:hanging="2"/>
              <w:jc w:val="both"/>
              <w:rPr>
                <w:color w:val="000000"/>
                <w:lang w:val="uk-UA"/>
              </w:rPr>
            </w:pPr>
            <w:r w:rsidRPr="00F476D7">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854431"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1A8EDAB3" w14:textId="2BB6602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1378C">
              <w:rPr>
                <w:color w:val="000000"/>
                <w:lang w:val="uk-UA"/>
              </w:rPr>
              <w:lastRenderedPageBreak/>
              <w:t xml:space="preserve">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F1378C">
              <w:rPr>
                <w:color w:val="000000"/>
                <w:lang w:val="uk-UA"/>
              </w:rPr>
              <w:lastRenderedPageBreak/>
              <w:t>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4B6082E6"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14:paraId="508A9595" w14:textId="772730CD" w:rsidR="00256F34" w:rsidRPr="00256F34"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lang w:val="uk-UA"/>
              </w:rPr>
              <w:t xml:space="preserve">Учасник у складі тендерної пропозиції надає </w:t>
            </w:r>
            <w:r>
              <w:rPr>
                <w:lang w:val="uk-UA"/>
              </w:rPr>
              <w:t xml:space="preserve">гарантійний </w:t>
            </w:r>
            <w:r w:rsidRPr="00256F34">
              <w:rPr>
                <w:lang w:val="uk-UA"/>
              </w:rPr>
              <w:t xml:space="preserve">лист у довільній формі, яким підтверджує, що учасник ознайомився з </w:t>
            </w:r>
            <w:proofErr w:type="spellStart"/>
            <w:r w:rsidRPr="00256F34">
              <w:rPr>
                <w:lang w:val="uk-UA"/>
              </w:rPr>
              <w:t>проєктом</w:t>
            </w:r>
            <w:proofErr w:type="spellEnd"/>
            <w:r w:rsidRPr="00256F34">
              <w:rPr>
                <w:lang w:val="uk-UA"/>
              </w:rPr>
              <w:t xml:space="preserve"> договору та порядком змін</w:t>
            </w:r>
            <w:r w:rsidR="00886965">
              <w:rPr>
                <w:lang w:val="uk-UA"/>
              </w:rPr>
              <w:t>и</w:t>
            </w:r>
            <w:r w:rsidRPr="00256F34">
              <w:rPr>
                <w:lang w:val="uk-UA"/>
              </w:rPr>
              <w:t xml:space="preserve"> умов договору про закупівлю </w:t>
            </w:r>
            <w:r w:rsidRPr="00256F34">
              <w:rPr>
                <w:lang w:val="uk-UA"/>
              </w:rPr>
              <w:lastRenderedPageBreak/>
              <w:t xml:space="preserve">згідно </w:t>
            </w:r>
            <w:r w:rsidRPr="00256F34">
              <w:rPr>
                <w:b/>
                <w:bCs/>
                <w:i/>
                <w:iCs/>
                <w:lang w:val="uk-UA"/>
              </w:rPr>
              <w:t>Додатку 4 до Тендерної документації</w:t>
            </w:r>
            <w:r w:rsidRPr="00256F34">
              <w:rPr>
                <w:lang w:val="uk-UA"/>
              </w:rPr>
              <w:t>, та гарантує виконання своїх зобов’язання за ним.</w:t>
            </w:r>
          </w:p>
          <w:p w14:paraId="6AE1519B" w14:textId="77777777" w:rsidR="00256F34"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color w:val="000000"/>
                <w:lang w:val="uk-UA"/>
              </w:rPr>
              <w:t>Переможець процедури закупівлі під час укладення договору про закупівлю повинен надати</w:t>
            </w:r>
            <w:r w:rsidR="00256F34">
              <w:rPr>
                <w:color w:val="000000"/>
                <w:lang w:val="uk-UA"/>
              </w:rPr>
              <w:t>:</w:t>
            </w:r>
          </w:p>
          <w:p w14:paraId="6551589A" w14:textId="77777777"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14:paraId="2A8EE73F" w14:textId="2410E259"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color w:val="000000"/>
                <w:lang w:val="uk-UA"/>
              </w:rPr>
              <w:t>.</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lastRenderedPageBreak/>
              <w:t>4. Умови договору про закупівлю</w:t>
            </w:r>
          </w:p>
        </w:tc>
        <w:tc>
          <w:tcPr>
            <w:tcW w:w="7315" w:type="dxa"/>
            <w:vAlign w:val="center"/>
          </w:tcPr>
          <w:p w14:paraId="7E79C2FB" w14:textId="77777777" w:rsidR="001D7BEB" w:rsidRPr="001D7BEB" w:rsidRDefault="001D7BEB" w:rsidP="001D7BEB">
            <w:pPr>
              <w:widowControl w:val="0"/>
              <w:ind w:left="0" w:hanging="2"/>
              <w:jc w:val="both"/>
              <w:rPr>
                <w:lang w:val="uk-UA"/>
              </w:rPr>
            </w:pPr>
            <w:r w:rsidRPr="001D7BE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256F34" w:rsidRDefault="00D93EEE" w:rsidP="00605F0B">
            <w:pPr>
              <w:pBdr>
                <w:top w:val="nil"/>
                <w:left w:val="nil"/>
                <w:bottom w:val="nil"/>
                <w:right w:val="nil"/>
                <w:between w:val="nil"/>
              </w:pBdr>
              <w:spacing w:line="240" w:lineRule="auto"/>
              <w:ind w:left="0" w:hanging="2"/>
              <w:jc w:val="both"/>
              <w:rPr>
                <w:sz w:val="22"/>
                <w:szCs w:val="22"/>
                <w:lang w:val="uk-UA"/>
              </w:rPr>
            </w:pPr>
            <w:r w:rsidRPr="00256F34">
              <w:rPr>
                <w:sz w:val="22"/>
                <w:szCs w:val="22"/>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256F34" w:rsidRDefault="00267426" w:rsidP="00605F0B">
            <w:pPr>
              <w:pBdr>
                <w:top w:val="nil"/>
                <w:left w:val="nil"/>
                <w:bottom w:val="nil"/>
                <w:right w:val="nil"/>
                <w:between w:val="nil"/>
              </w:pBdr>
              <w:spacing w:line="240" w:lineRule="auto"/>
              <w:ind w:left="0" w:hanging="2"/>
              <w:jc w:val="both"/>
              <w:rPr>
                <w:color w:val="000000"/>
                <w:sz w:val="22"/>
                <w:szCs w:val="22"/>
                <w:lang w:val="uk-UA"/>
              </w:rPr>
            </w:pPr>
            <w:r w:rsidRPr="00256F34">
              <w:rPr>
                <w:sz w:val="22"/>
                <w:szCs w:val="22"/>
                <w:lang w:val="uk-UA"/>
              </w:rPr>
              <w:t>Інформація про технічні, якісні та кількісні характеристики предмета закупівлі</w:t>
            </w:r>
          </w:p>
        </w:tc>
      </w:tr>
      <w:tr w:rsidR="00D93EEE" w:rsidRPr="00854431"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256F34" w:rsidRDefault="00D93EEE" w:rsidP="006C15C5">
            <w:pPr>
              <w:pBdr>
                <w:top w:val="nil"/>
                <w:left w:val="nil"/>
                <w:bottom w:val="nil"/>
                <w:right w:val="nil"/>
                <w:between w:val="nil"/>
              </w:pBdr>
              <w:spacing w:line="240" w:lineRule="auto"/>
              <w:ind w:left="0" w:hanging="2"/>
              <w:jc w:val="both"/>
              <w:rPr>
                <w:sz w:val="22"/>
                <w:szCs w:val="22"/>
                <w:lang w:val="uk-UA"/>
              </w:rPr>
            </w:pPr>
            <w:r w:rsidRPr="00256F34">
              <w:rPr>
                <w:sz w:val="22"/>
                <w:szCs w:val="22"/>
                <w:lang w:val="uk-UA"/>
              </w:rPr>
              <w:t xml:space="preserve">Перелік </w:t>
            </w:r>
            <w:r w:rsidR="00605F0B" w:rsidRPr="00256F34">
              <w:rPr>
                <w:sz w:val="22"/>
                <w:szCs w:val="22"/>
                <w:lang w:val="uk-UA"/>
              </w:rPr>
              <w:t>документів та інформації для підтвердження відповідності учасника кваліфікаційн</w:t>
            </w:r>
            <w:r w:rsidR="008B15F1" w:rsidRPr="00256F34">
              <w:rPr>
                <w:sz w:val="22"/>
                <w:szCs w:val="22"/>
                <w:lang w:val="uk-UA"/>
              </w:rPr>
              <w:t>им</w:t>
            </w:r>
            <w:r w:rsidR="00F476D7" w:rsidRPr="00256F34">
              <w:rPr>
                <w:sz w:val="22"/>
                <w:szCs w:val="22"/>
                <w:lang w:val="uk-UA"/>
              </w:rPr>
              <w:t xml:space="preserve"> (кваліфікаційному) </w:t>
            </w:r>
            <w:r w:rsidR="00605F0B" w:rsidRPr="00256F34">
              <w:rPr>
                <w:sz w:val="22"/>
                <w:szCs w:val="22"/>
                <w:lang w:val="uk-UA"/>
              </w:rPr>
              <w:t>критері</w:t>
            </w:r>
            <w:r w:rsidR="008B15F1" w:rsidRPr="00256F34">
              <w:rPr>
                <w:sz w:val="22"/>
                <w:szCs w:val="22"/>
                <w:lang w:val="uk-UA"/>
              </w:rPr>
              <w:t>ям</w:t>
            </w:r>
            <w:r w:rsidR="00CC777F">
              <w:rPr>
                <w:sz w:val="22"/>
                <w:szCs w:val="22"/>
                <w:lang w:val="uk-UA"/>
              </w:rPr>
              <w:t xml:space="preserve"> (критерію)</w:t>
            </w:r>
            <w:r w:rsidR="00605F0B" w:rsidRPr="00256F34">
              <w:rPr>
                <w:sz w:val="22"/>
                <w:szCs w:val="22"/>
                <w:lang w:val="uk-UA"/>
              </w:rPr>
              <w:t>, визначеним статт</w:t>
            </w:r>
            <w:r w:rsidR="00F476D7" w:rsidRPr="00256F34">
              <w:rPr>
                <w:sz w:val="22"/>
                <w:szCs w:val="22"/>
                <w:lang w:val="uk-UA"/>
              </w:rPr>
              <w:t>ею</w:t>
            </w:r>
            <w:r w:rsidR="00605F0B" w:rsidRPr="00256F34">
              <w:rPr>
                <w:sz w:val="22"/>
                <w:szCs w:val="22"/>
                <w:lang w:val="uk-UA"/>
              </w:rPr>
              <w:t xml:space="preserve"> 16 Закону «Про публічні закупівлі»</w:t>
            </w:r>
            <w:r w:rsidR="006C15C5" w:rsidRPr="00256F34">
              <w:rPr>
                <w:sz w:val="22"/>
                <w:szCs w:val="22"/>
                <w:lang w:val="uk-UA"/>
              </w:rPr>
              <w:t>;</w:t>
            </w:r>
            <w:r w:rsidRPr="00256F34">
              <w:rPr>
                <w:sz w:val="22"/>
                <w:szCs w:val="22"/>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256F34">
              <w:rPr>
                <w:sz w:val="22"/>
                <w:szCs w:val="22"/>
                <w:lang w:val="uk-UA"/>
              </w:rPr>
              <w:t>7</w:t>
            </w:r>
            <w:r w:rsidRPr="00256F34">
              <w:rPr>
                <w:sz w:val="22"/>
                <w:szCs w:val="22"/>
                <w:lang w:val="uk-UA"/>
              </w:rPr>
              <w:t xml:space="preserve"> Особливостей</w:t>
            </w:r>
            <w:r w:rsidR="006C15C5" w:rsidRPr="00256F34">
              <w:rPr>
                <w:sz w:val="22"/>
                <w:szCs w:val="22"/>
                <w:lang w:val="uk-UA"/>
              </w:rPr>
              <w:t>;</w:t>
            </w:r>
            <w:r w:rsidRPr="00256F34">
              <w:rPr>
                <w:sz w:val="22"/>
                <w:szCs w:val="22"/>
                <w:lang w:val="uk-UA"/>
              </w:rPr>
              <w:t xml:space="preserve"> перелік документів та інформації  для підтвердження відповідності переможця вимогам, визначеним у пункті 4</w:t>
            </w:r>
            <w:r w:rsidR="00D90A52" w:rsidRPr="00256F34">
              <w:rPr>
                <w:sz w:val="22"/>
                <w:szCs w:val="22"/>
                <w:lang w:val="uk-UA"/>
              </w:rPr>
              <w:t>7</w:t>
            </w:r>
            <w:r w:rsidRPr="00256F34">
              <w:rPr>
                <w:sz w:val="22"/>
                <w:szCs w:val="22"/>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256F34" w:rsidRDefault="00D93EEE" w:rsidP="008816DB">
            <w:pPr>
              <w:pBdr>
                <w:top w:val="nil"/>
                <w:left w:val="nil"/>
                <w:bottom w:val="nil"/>
                <w:right w:val="nil"/>
                <w:between w:val="nil"/>
              </w:pBdr>
              <w:spacing w:line="240" w:lineRule="auto"/>
              <w:ind w:left="0" w:hanging="2"/>
              <w:jc w:val="both"/>
              <w:rPr>
                <w:sz w:val="22"/>
                <w:szCs w:val="22"/>
                <w:lang w:val="uk-UA"/>
              </w:rPr>
            </w:pPr>
            <w:proofErr w:type="spellStart"/>
            <w:r w:rsidRPr="00256F34">
              <w:rPr>
                <w:sz w:val="22"/>
                <w:szCs w:val="22"/>
                <w:lang w:val="uk-UA"/>
              </w:rPr>
              <w:t>Про</w:t>
            </w:r>
            <w:r w:rsidR="00F1378C" w:rsidRPr="00256F34">
              <w:rPr>
                <w:sz w:val="22"/>
                <w:szCs w:val="22"/>
                <w:lang w:val="uk-UA"/>
              </w:rPr>
              <w:t>є</w:t>
            </w:r>
            <w:r w:rsidRPr="00256F34">
              <w:rPr>
                <w:sz w:val="22"/>
                <w:szCs w:val="22"/>
                <w:lang w:val="uk-UA"/>
              </w:rPr>
              <w:t>кт</w:t>
            </w:r>
            <w:proofErr w:type="spellEnd"/>
            <w:r w:rsidRPr="00256F34">
              <w:rPr>
                <w:sz w:val="22"/>
                <w:szCs w:val="22"/>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11"/>
      <w:headerReference w:type="default" r:id="rId12"/>
      <w:footerReference w:type="even" r:id="rId13"/>
      <w:footerReference w:type="default" r:id="rId14"/>
      <w:headerReference w:type="first" r:id="rId15"/>
      <w:footerReference w:type="first" r:id="rId16"/>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956C253" w:rsidR="00D63E20" w:rsidRDefault="00D63E20">
        <w:pPr>
          <w:pStyle w:val="ab"/>
          <w:ind w:left="0" w:hanging="2"/>
          <w:jc w:val="center"/>
        </w:pPr>
        <w:r>
          <w:fldChar w:fldCharType="begin"/>
        </w:r>
        <w:r>
          <w:instrText>PAGE   \* MERGEFORMAT</w:instrText>
        </w:r>
        <w:r>
          <w:fldChar w:fldCharType="separate"/>
        </w:r>
        <w:r w:rsidR="001626E3" w:rsidRPr="001626E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854431">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854431">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854431">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oree.com.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3A30F9-32A9-4BF4-A5AA-A1F95C16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8761</Words>
  <Characters>49944</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2023-11-02T10:41:00Z</cp:lastPrinted>
  <dcterms:created xsi:type="dcterms:W3CDTF">2023-11-05T09:25:00Z</dcterms:created>
  <dcterms:modified xsi:type="dcterms:W3CDTF">2023-11-05T09:25:00Z</dcterms:modified>
</cp:coreProperties>
</file>