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81F6E0" w14:textId="77777777" w:rsidR="005D576A" w:rsidRDefault="0087339E" w:rsidP="002C214E">
            <w:pPr>
              <w:pStyle w:val="19"/>
              <w:ind w:right="142"/>
              <w:rPr>
                <w:rFonts w:ascii="Times New Roman" w:hAnsi="Times New Roman"/>
                <w:sz w:val="28"/>
                <w:szCs w:val="28"/>
                <w:u w:val="single"/>
                <w:lang w:val="uk-UA"/>
              </w:rPr>
            </w:pPr>
            <w:r w:rsidRPr="009C077B">
              <w:rPr>
                <w:rFonts w:ascii="Times New Roman" w:hAnsi="Times New Roman"/>
                <w:sz w:val="28"/>
                <w:szCs w:val="28"/>
                <w:lang w:val="uk-UA"/>
              </w:rPr>
              <w:t>від «</w:t>
            </w:r>
            <w:r w:rsidR="007C266B">
              <w:rPr>
                <w:rFonts w:ascii="Times New Roman" w:hAnsi="Times New Roman"/>
                <w:sz w:val="28"/>
                <w:szCs w:val="28"/>
                <w:u w:val="single"/>
                <w:lang w:val="uk-UA"/>
              </w:rPr>
              <w:t>2</w:t>
            </w:r>
            <w:r w:rsidR="002855CE">
              <w:rPr>
                <w:rFonts w:ascii="Times New Roman" w:hAnsi="Times New Roman"/>
                <w:sz w:val="28"/>
                <w:szCs w:val="28"/>
                <w:u w:val="single"/>
                <w:lang w:val="uk-UA"/>
              </w:rPr>
              <w:t>1</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04B56">
              <w:rPr>
                <w:rFonts w:ascii="Times New Roman" w:hAnsi="Times New Roman"/>
                <w:sz w:val="28"/>
                <w:szCs w:val="28"/>
                <w:u w:val="single"/>
                <w:lang w:val="uk-UA"/>
              </w:rPr>
              <w:t>березня</w:t>
            </w:r>
            <w:r w:rsidR="00976D36">
              <w:rPr>
                <w:rFonts w:ascii="Times New Roman" w:hAnsi="Times New Roman"/>
                <w:sz w:val="28"/>
                <w:szCs w:val="28"/>
                <w:u w:val="single"/>
                <w:lang w:val="uk-UA"/>
              </w:rPr>
              <w:t xml:space="preserve"> </w:t>
            </w:r>
            <w:r w:rsidR="00D66458" w:rsidRPr="009C077B">
              <w:rPr>
                <w:rFonts w:ascii="Times New Roman" w:hAnsi="Times New Roman"/>
                <w:sz w:val="28"/>
                <w:szCs w:val="28"/>
                <w:lang w:val="uk-UA"/>
              </w:rPr>
              <w:t>20</w:t>
            </w:r>
            <w:r w:rsidR="00D04B56">
              <w:rPr>
                <w:rFonts w:ascii="Times New Roman" w:hAnsi="Times New Roman"/>
                <w:sz w:val="28"/>
                <w:szCs w:val="28"/>
                <w:lang w:val="uk-UA"/>
              </w:rPr>
              <w:t>24</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7C266B">
              <w:rPr>
                <w:rFonts w:ascii="Times New Roman" w:hAnsi="Times New Roman"/>
                <w:sz w:val="28"/>
                <w:szCs w:val="28"/>
                <w:u w:val="single"/>
                <w:lang w:val="uk-UA"/>
              </w:rPr>
              <w:t>22</w:t>
            </w:r>
          </w:p>
          <w:p w14:paraId="17D91028" w14:textId="1175C531" w:rsidR="00CC1702" w:rsidRPr="009C077B" w:rsidRDefault="00035006" w:rsidP="002C214E">
            <w:pPr>
              <w:pStyle w:val="19"/>
              <w:ind w:right="142"/>
              <w:rPr>
                <w:rFonts w:ascii="Times New Roman" w:hAnsi="Times New Roman"/>
                <w:sz w:val="28"/>
                <w:szCs w:val="28"/>
                <w:lang w:val="uk-UA"/>
              </w:rPr>
            </w:pPr>
            <w:r>
              <w:rPr>
                <w:rFonts w:ascii="Times New Roman" w:hAnsi="Times New Roman"/>
                <w:sz w:val="28"/>
                <w:szCs w:val="28"/>
                <w:u w:val="single"/>
                <w:lang w:val="uk-UA"/>
              </w:rPr>
              <w:t>зі змінами від 26.03.2024 р</w:t>
            </w:r>
            <w:r w:rsidR="00CC1702" w:rsidRPr="00035006">
              <w:rPr>
                <w:rFonts w:ascii="Times New Roman" w:hAnsi="Times New Roman"/>
                <w:sz w:val="28"/>
                <w:szCs w:val="28"/>
                <w:u w:val="single"/>
                <w:lang w:val="uk-UA"/>
              </w:rPr>
              <w:t xml:space="preserve">  протокол №</w:t>
            </w:r>
            <w:r>
              <w:rPr>
                <w:rFonts w:ascii="Times New Roman" w:hAnsi="Times New Roman"/>
                <w:sz w:val="28"/>
                <w:szCs w:val="28"/>
                <w:u w:val="single"/>
                <w:lang w:val="uk-UA"/>
              </w:rPr>
              <w:t xml:space="preserve"> 27</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6D263689" w:rsidR="008D1773" w:rsidRPr="009C077B" w:rsidRDefault="007C266B" w:rsidP="008D1773">
            <w:pPr>
              <w:pStyle w:val="rvps2"/>
              <w:spacing w:before="0" w:beforeAutospacing="0" w:after="0" w:afterAutospacing="0"/>
              <w:jc w:val="center"/>
              <w:rPr>
                <w:sz w:val="28"/>
                <w:szCs w:val="28"/>
              </w:rPr>
            </w:pPr>
            <w:r>
              <w:rPr>
                <w:b/>
              </w:rPr>
              <w:t>РОЗЧИННИК НА ОСНОВІ УАЙТ-СПІРИТУ</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42914B40" w:rsidR="008D1773" w:rsidRPr="007C266B" w:rsidRDefault="007C266B" w:rsidP="008D1773">
            <w:pPr>
              <w:pBdr>
                <w:top w:val="single" w:sz="4" w:space="1" w:color="auto"/>
              </w:pBdr>
              <w:ind w:right="142"/>
              <w:jc w:val="center"/>
              <w:rPr>
                <w:rFonts w:ascii="Times New Roman" w:hAnsi="Times New Roman" w:cs="Times New Roman"/>
                <w:sz w:val="28"/>
                <w:szCs w:val="28"/>
                <w:lang w:val="uk-UA"/>
              </w:rPr>
            </w:pPr>
            <w:r w:rsidRPr="007C266B">
              <w:rPr>
                <w:b/>
                <w:lang w:val="uk-UA"/>
              </w:rPr>
              <w:t xml:space="preserve">СВРЗ-24Т_028_ВО: Розчинник на основі уайт - спіриту (ДК 021:2015 – </w:t>
            </w:r>
            <w:r w:rsidRPr="007C266B">
              <w:rPr>
                <w:b/>
                <w:bCs/>
                <w:lang w:val="uk-UA"/>
              </w:rPr>
              <w:t>09220000-7 - Вазелін і парафіни нафтові та спеціальні бензини</w:t>
            </w:r>
            <w:r w:rsidRPr="007C266B">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1D992FC" w:rsidR="00B96C1E" w:rsidRPr="009C077B" w:rsidRDefault="00CC1702" w:rsidP="00CC1702">
      <w:pPr>
        <w:ind w:right="142"/>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331F7A58"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D04B56">
        <w:rPr>
          <w:rFonts w:ascii="Times New Roman" w:hAnsi="Times New Roman" w:cs="Times New Roman"/>
          <w:sz w:val="28"/>
          <w:szCs w:val="28"/>
          <w:lang w:val="uk-UA"/>
        </w:rPr>
        <w:t>24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976D3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459E822D"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976D36" w:rsidRPr="00000577">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5BED1D30" w14:textId="77777777" w:rsidR="00976D36" w:rsidRPr="00E778D7" w:rsidRDefault="00976D36" w:rsidP="00976D36">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Pr>
                <w:rFonts w:eastAsia="Batang"/>
                <w:bCs/>
                <w:color w:val="000000"/>
                <w:lang w:val="uk-UA"/>
              </w:rPr>
              <w:t>Бойко Романа Петрівна</w:t>
            </w:r>
            <w:r w:rsidRPr="00155140">
              <w:rPr>
                <w:rFonts w:eastAsia="Batang"/>
                <w:bCs/>
                <w:color w:val="000000"/>
              </w:rPr>
              <w:t xml:space="preserve">, тел. </w:t>
            </w:r>
            <w:r>
              <w:rPr>
                <w:rFonts w:eastAsia="Batang"/>
                <w:bCs/>
                <w:color w:val="000000"/>
                <w:lang w:val="uk-UA"/>
              </w:rPr>
              <w:t>0500527866</w:t>
            </w:r>
            <w:r w:rsidRPr="00BA1D90">
              <w:rPr>
                <w:rFonts w:eastAsia="Batang"/>
                <w:bCs/>
                <w:color w:val="000000"/>
              </w:rPr>
              <w:t>;</w:t>
            </w:r>
            <w:r w:rsidRPr="00BA1D90">
              <w:rPr>
                <w:rFonts w:eastAsia="Batang"/>
                <w:color w:val="000000"/>
              </w:rPr>
              <w:t xml:space="preserve"> </w:t>
            </w:r>
            <w:r w:rsidRPr="00155140">
              <w:rPr>
                <w:rFonts w:eastAsia="Batang"/>
                <w:bCs/>
                <w:color w:val="000000"/>
                <w:lang w:val="en-US"/>
              </w:rPr>
              <w:t>e</w:t>
            </w:r>
            <w:r w:rsidRPr="00BA1D90">
              <w:rPr>
                <w:rFonts w:eastAsia="Batang"/>
                <w:bCs/>
                <w:color w:val="000000"/>
              </w:rPr>
              <w:t>-</w:t>
            </w:r>
            <w:r w:rsidRPr="00155140">
              <w:rPr>
                <w:rFonts w:eastAsia="Batang"/>
                <w:bCs/>
                <w:color w:val="000000"/>
                <w:lang w:val="en-US"/>
              </w:rPr>
              <w:t>mail</w:t>
            </w:r>
            <w:r w:rsidRPr="00BA1D90">
              <w:rPr>
                <w:rFonts w:eastAsia="Batang"/>
                <w:bCs/>
                <w:color w:val="000000"/>
              </w:rPr>
              <w:t xml:space="preserve">: </w:t>
            </w:r>
            <w:hyperlink r:id="rId16" w:history="1">
              <w:r w:rsidRPr="00DF5509">
                <w:rPr>
                  <w:rStyle w:val="a6"/>
                  <w:rFonts w:eastAsia="Batang"/>
                  <w:bCs/>
                  <w:lang w:val="en-US"/>
                </w:rPr>
                <w:t>boiko</w:t>
              </w:r>
              <w:r w:rsidRPr="00DF5509">
                <w:rPr>
                  <w:rStyle w:val="a6"/>
                  <w:rFonts w:eastAsia="Batang"/>
                  <w:bCs/>
                </w:rPr>
                <w:t>.</w:t>
              </w:r>
              <w:r w:rsidRPr="00DF5509">
                <w:rPr>
                  <w:rStyle w:val="a6"/>
                  <w:rFonts w:eastAsia="Batang"/>
                  <w:bCs/>
                  <w:lang w:val="en-US"/>
                </w:rPr>
                <w:t>r</w:t>
              </w:r>
              <w:r w:rsidRPr="00DF5509">
                <w:rPr>
                  <w:rStyle w:val="a6"/>
                  <w:rFonts w:eastAsia="Batang"/>
                  <w:bCs/>
                </w:rPr>
                <w:t>.</w:t>
              </w:r>
              <w:r w:rsidRPr="00DF5509">
                <w:rPr>
                  <w:rStyle w:val="a6"/>
                  <w:rFonts w:eastAsia="Batang"/>
                  <w:bCs/>
                  <w:lang w:val="en-US"/>
                </w:rPr>
                <w:t>p</w:t>
              </w:r>
              <w:r w:rsidRPr="00DF5509">
                <w:rPr>
                  <w:rStyle w:val="a6"/>
                  <w:rFonts w:eastAsia="Batang"/>
                  <w:bCs/>
                </w:rPr>
                <w:t>@</w:t>
              </w:r>
              <w:r w:rsidRPr="00DF5509">
                <w:rPr>
                  <w:rStyle w:val="a6"/>
                  <w:rFonts w:eastAsia="Batang"/>
                  <w:bCs/>
                  <w:lang w:val="en-US"/>
                </w:rPr>
                <w:t>swrz</w:t>
              </w:r>
              <w:r w:rsidRPr="00DF5509">
                <w:rPr>
                  <w:rStyle w:val="a6"/>
                  <w:rFonts w:eastAsia="Batang"/>
                  <w:bCs/>
                </w:rPr>
                <w:t>.</w:t>
              </w:r>
              <w:r w:rsidRPr="00DF5509">
                <w:rPr>
                  <w:rStyle w:val="a6"/>
                  <w:rFonts w:eastAsia="Batang"/>
                  <w:bCs/>
                  <w:lang w:val="en-US"/>
                </w:rPr>
                <w:t>com</w:t>
              </w:r>
              <w:r w:rsidRPr="00DF5509">
                <w:rPr>
                  <w:rStyle w:val="a6"/>
                  <w:rFonts w:eastAsia="Batang"/>
                  <w:bCs/>
                </w:rPr>
                <w:t>.</w:t>
              </w:r>
              <w:r w:rsidRPr="00DF5509">
                <w:rPr>
                  <w:rStyle w:val="a6"/>
                  <w:rFonts w:eastAsia="Batang"/>
                  <w:bCs/>
                  <w:lang w:val="en-US"/>
                </w:rPr>
                <w:t>ua</w:t>
              </w:r>
            </w:hyperlink>
            <w:r w:rsidRPr="00BA1D90">
              <w:rPr>
                <w:rFonts w:eastAsia="Batang"/>
                <w:bCs/>
                <w:color w:val="000000"/>
              </w:rPr>
              <w:t xml:space="preserve"> </w:t>
            </w:r>
          </w:p>
          <w:p w14:paraId="3285A97B" w14:textId="77777777" w:rsidR="00976D36" w:rsidRPr="009C077B" w:rsidRDefault="00976D36" w:rsidP="00976D36">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4CC3B4DD" w:rsidR="00CC083C" w:rsidRPr="00976D36" w:rsidRDefault="00976D36" w:rsidP="00976D36">
            <w:pPr>
              <w:ind w:right="-61" w:firstLine="709"/>
              <w:rPr>
                <w:rFonts w:eastAsia="Batang"/>
                <w:color w:val="000000"/>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Pr>
                <w:rFonts w:eastAsia="Batang"/>
                <w:bCs/>
                <w:color w:val="000000"/>
                <w:lang w:val="uk-UA"/>
              </w:rPr>
              <w:t>Бойко Романа Петрівна</w:t>
            </w:r>
            <w:r w:rsidRPr="00155140">
              <w:rPr>
                <w:rFonts w:eastAsia="Batang"/>
                <w:bCs/>
                <w:color w:val="000000"/>
              </w:rPr>
              <w:t xml:space="preserve">, тел. </w:t>
            </w:r>
            <w:r>
              <w:rPr>
                <w:rFonts w:eastAsia="Batang"/>
                <w:bCs/>
                <w:color w:val="000000"/>
                <w:lang w:val="uk-UA"/>
              </w:rPr>
              <w:t>0500527866</w:t>
            </w:r>
            <w:r w:rsidRPr="00BA1D90">
              <w:rPr>
                <w:rFonts w:eastAsia="Batang"/>
                <w:bCs/>
                <w:color w:val="000000"/>
              </w:rPr>
              <w:t>;</w:t>
            </w:r>
            <w:r w:rsidRPr="00BA1D90">
              <w:rPr>
                <w:rFonts w:eastAsia="Batang"/>
                <w:color w:val="000000"/>
              </w:rPr>
              <w:t xml:space="preserve"> </w:t>
            </w:r>
            <w:r w:rsidRPr="00155140">
              <w:rPr>
                <w:rFonts w:eastAsia="Batang"/>
                <w:bCs/>
                <w:color w:val="000000"/>
                <w:lang w:val="en-US"/>
              </w:rPr>
              <w:t>e</w:t>
            </w:r>
            <w:r w:rsidRPr="00BA1D90">
              <w:rPr>
                <w:rFonts w:eastAsia="Batang"/>
                <w:bCs/>
                <w:color w:val="000000"/>
              </w:rPr>
              <w:t>-</w:t>
            </w:r>
            <w:r w:rsidRPr="00155140">
              <w:rPr>
                <w:rFonts w:eastAsia="Batang"/>
                <w:bCs/>
                <w:color w:val="000000"/>
                <w:lang w:val="en-US"/>
              </w:rPr>
              <w:t>mail</w:t>
            </w:r>
            <w:r w:rsidRPr="00BA1D90">
              <w:rPr>
                <w:rFonts w:eastAsia="Batang"/>
                <w:bCs/>
                <w:color w:val="000000"/>
              </w:rPr>
              <w:t xml:space="preserve">: </w:t>
            </w:r>
            <w:hyperlink r:id="rId17" w:history="1">
              <w:r w:rsidRPr="00DF5509">
                <w:rPr>
                  <w:rStyle w:val="a6"/>
                  <w:rFonts w:eastAsia="Batang"/>
                  <w:bCs/>
                  <w:lang w:val="en-US"/>
                </w:rPr>
                <w:t>boiko</w:t>
              </w:r>
              <w:r w:rsidRPr="00DF5509">
                <w:rPr>
                  <w:rStyle w:val="a6"/>
                  <w:rFonts w:eastAsia="Batang"/>
                  <w:bCs/>
                </w:rPr>
                <w:t>.</w:t>
              </w:r>
              <w:r w:rsidRPr="00DF5509">
                <w:rPr>
                  <w:rStyle w:val="a6"/>
                  <w:rFonts w:eastAsia="Batang"/>
                  <w:bCs/>
                  <w:lang w:val="en-US"/>
                </w:rPr>
                <w:t>r</w:t>
              </w:r>
              <w:r w:rsidRPr="00DF5509">
                <w:rPr>
                  <w:rStyle w:val="a6"/>
                  <w:rFonts w:eastAsia="Batang"/>
                  <w:bCs/>
                </w:rPr>
                <w:t>.</w:t>
              </w:r>
              <w:r w:rsidRPr="00DF5509">
                <w:rPr>
                  <w:rStyle w:val="a6"/>
                  <w:rFonts w:eastAsia="Batang"/>
                  <w:bCs/>
                  <w:lang w:val="en-US"/>
                </w:rPr>
                <w:t>p</w:t>
              </w:r>
              <w:r w:rsidRPr="00DF5509">
                <w:rPr>
                  <w:rStyle w:val="a6"/>
                  <w:rFonts w:eastAsia="Batang"/>
                  <w:bCs/>
                </w:rPr>
                <w:t>@</w:t>
              </w:r>
              <w:r w:rsidRPr="00DF5509">
                <w:rPr>
                  <w:rStyle w:val="a6"/>
                  <w:rFonts w:eastAsia="Batang"/>
                  <w:bCs/>
                  <w:lang w:val="en-US"/>
                </w:rPr>
                <w:t>swrz</w:t>
              </w:r>
              <w:r w:rsidRPr="00DF5509">
                <w:rPr>
                  <w:rStyle w:val="a6"/>
                  <w:rFonts w:eastAsia="Batang"/>
                  <w:bCs/>
                </w:rPr>
                <w:t>.</w:t>
              </w:r>
              <w:r w:rsidRPr="00DF5509">
                <w:rPr>
                  <w:rStyle w:val="a6"/>
                  <w:rFonts w:eastAsia="Batang"/>
                  <w:bCs/>
                  <w:lang w:val="en-US"/>
                </w:rPr>
                <w:t>com</w:t>
              </w:r>
              <w:r w:rsidRPr="00DF5509">
                <w:rPr>
                  <w:rStyle w:val="a6"/>
                  <w:rFonts w:eastAsia="Batang"/>
                  <w:bCs/>
                </w:rPr>
                <w:t>.</w:t>
              </w:r>
              <w:r w:rsidRPr="00DF5509">
                <w:rPr>
                  <w:rStyle w:val="a6"/>
                  <w:rFonts w:eastAsia="Batang"/>
                  <w:bCs/>
                  <w:lang w:val="en-US"/>
                </w:rPr>
                <w:t>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5E6033D6" w14:textId="77777777" w:rsidR="007C266B" w:rsidRPr="009C077B" w:rsidRDefault="007C266B" w:rsidP="007C266B">
            <w:pPr>
              <w:pStyle w:val="rvps2"/>
              <w:spacing w:before="0" w:beforeAutospacing="0" w:after="0" w:afterAutospacing="0"/>
              <w:jc w:val="center"/>
              <w:rPr>
                <w:sz w:val="28"/>
                <w:szCs w:val="28"/>
              </w:rPr>
            </w:pPr>
            <w:r>
              <w:rPr>
                <w:b/>
              </w:rPr>
              <w:t>РОЗЧИННИК НА ОСНОВІ УАЙТ-СПІРИТУ</w:t>
            </w:r>
          </w:p>
          <w:p w14:paraId="2BB17069" w14:textId="77777777" w:rsidR="007C266B" w:rsidRPr="009C077B" w:rsidRDefault="007C266B" w:rsidP="007C266B">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5132338D" w14:textId="77777777" w:rsidR="007C266B" w:rsidRPr="009C077B" w:rsidRDefault="007C266B" w:rsidP="007C266B">
            <w:pPr>
              <w:pBdr>
                <w:top w:val="single" w:sz="4" w:space="1" w:color="auto"/>
              </w:pBdr>
              <w:ind w:right="142"/>
              <w:jc w:val="both"/>
              <w:rPr>
                <w:rFonts w:ascii="Times New Roman" w:hAnsi="Times New Roman" w:cs="Times New Roman"/>
                <w:szCs w:val="22"/>
                <w:lang w:val="uk-UA"/>
              </w:rPr>
            </w:pPr>
          </w:p>
          <w:p w14:paraId="0DF08609" w14:textId="77777777" w:rsidR="007C266B" w:rsidRPr="007C266B" w:rsidRDefault="007C266B" w:rsidP="007C266B">
            <w:pPr>
              <w:pBdr>
                <w:top w:val="single" w:sz="4" w:space="1" w:color="auto"/>
              </w:pBdr>
              <w:ind w:right="142"/>
              <w:jc w:val="center"/>
              <w:rPr>
                <w:rFonts w:ascii="Times New Roman" w:hAnsi="Times New Roman" w:cs="Times New Roman"/>
                <w:sz w:val="28"/>
                <w:szCs w:val="28"/>
                <w:lang w:val="uk-UA"/>
              </w:rPr>
            </w:pPr>
            <w:r w:rsidRPr="007C266B">
              <w:rPr>
                <w:b/>
                <w:lang w:val="uk-UA"/>
              </w:rPr>
              <w:t xml:space="preserve">СВРЗ-24Т_028_ВО: Розчинник на основі уайт - спіриту (ДК 021:2015 – </w:t>
            </w:r>
            <w:r w:rsidRPr="007C266B">
              <w:rPr>
                <w:b/>
                <w:bCs/>
                <w:lang w:val="uk-UA"/>
              </w:rPr>
              <w:t>09220000-7 - Вазелін і парафіни нафтові та спеціальні бензини</w:t>
            </w:r>
            <w:r w:rsidRPr="007C266B">
              <w:rPr>
                <w:b/>
                <w:lang w:val="uk-UA"/>
              </w:rPr>
              <w:t>)</w:t>
            </w:r>
          </w:p>
          <w:p w14:paraId="7ACEA6C4" w14:textId="6F4F8451" w:rsidR="00057DA4" w:rsidRPr="002C214E" w:rsidRDefault="007C266B" w:rsidP="007C266B">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3F988412" w:rsidR="00E7348C" w:rsidRPr="009C077B" w:rsidRDefault="004358ED" w:rsidP="008032DC">
            <w:pPr>
              <w:ind w:left="127" w:right="-283" w:firstLine="156"/>
              <w:jc w:val="both"/>
              <w:rPr>
                <w:rFonts w:ascii="Times New Roman" w:hAnsi="Times New Roman" w:cs="Times New Roman"/>
                <w:lang w:val="uk-UA"/>
              </w:rPr>
            </w:pPr>
            <w:r w:rsidRPr="009C077B">
              <w:rPr>
                <w:rFonts w:ascii="Times New Roman" w:hAnsi="Times New Roman" w:cs="Times New Roman"/>
                <w:lang w:val="uk-UA"/>
              </w:rPr>
              <w:t xml:space="preserve">Кількість: </w:t>
            </w:r>
            <w:r w:rsidR="007C266B">
              <w:rPr>
                <w:rFonts w:ascii="Times New Roman" w:hAnsi="Times New Roman" w:cs="Times New Roman"/>
                <w:b/>
                <w:lang w:val="uk-UA"/>
              </w:rPr>
              <w:t>60</w:t>
            </w:r>
            <w:r w:rsidR="008032DC">
              <w:rPr>
                <w:rFonts w:ascii="Times New Roman" w:hAnsi="Times New Roman" w:cs="Times New Roman"/>
                <w:b/>
                <w:lang w:val="uk-UA"/>
              </w:rPr>
              <w:t>00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742865E" w:rsidR="00027C57" w:rsidRPr="009C077B" w:rsidRDefault="002C214E" w:rsidP="002C214E">
            <w:pPr>
              <w:ind w:left="127" w:right="127" w:firstLine="141"/>
              <w:jc w:val="both"/>
              <w:rPr>
                <w:lang w:val="uk-UA"/>
              </w:rPr>
            </w:pPr>
            <w:r w:rsidRPr="009C077B">
              <w:rPr>
                <w:lang w:val="uk-UA"/>
              </w:rPr>
              <w:t xml:space="preserve">протягом </w:t>
            </w:r>
            <w:r>
              <w:rPr>
                <w:b/>
                <w:lang w:val="uk-UA"/>
              </w:rPr>
              <w:t>5</w:t>
            </w:r>
            <w:r w:rsidRPr="00421F02">
              <w:rPr>
                <w:b/>
                <w:lang w:val="uk-UA"/>
              </w:rPr>
              <w:t xml:space="preserve"> (</w:t>
            </w:r>
            <w:r w:rsidR="002444EA">
              <w:rPr>
                <w:b/>
                <w:lang w:val="uk-UA"/>
              </w:rPr>
              <w:t>п</w:t>
            </w:r>
            <w:r w:rsidR="002444EA" w:rsidRPr="002444EA">
              <w:rPr>
                <w:b/>
              </w:rPr>
              <w:t>”</w:t>
            </w:r>
            <w:r>
              <w:rPr>
                <w:b/>
                <w:lang w:val="uk-UA"/>
              </w:rPr>
              <w:t>яти</w:t>
            </w:r>
            <w:r w:rsidRPr="00421F02">
              <w:rPr>
                <w:b/>
                <w:lang w:val="uk-UA"/>
              </w:rPr>
              <w:t>)</w:t>
            </w:r>
            <w:r w:rsidRPr="009C077B">
              <w:rPr>
                <w:lang w:val="uk-UA"/>
              </w:rPr>
              <w:t xml:space="preserve"> календарних днів з моменту надання письмової рознарядки замовником, але не пізніше ніж до </w:t>
            </w:r>
            <w:r>
              <w:rPr>
                <w:lang w:val="uk-UA"/>
              </w:rPr>
              <w:t>31.12</w:t>
            </w:r>
            <w:r w:rsidRPr="009C077B">
              <w:rPr>
                <w:lang w:val="uk-UA"/>
              </w:rPr>
              <w:t>.20</w:t>
            </w:r>
            <w:r>
              <w:rPr>
                <w:lang w:val="uk-UA"/>
              </w:rPr>
              <w:t>2</w:t>
            </w:r>
            <w:r w:rsidR="00D04B56">
              <w:rPr>
                <w:lang w:val="uk-UA"/>
              </w:rPr>
              <w:t>4</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035006"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2" w:name="n436"/>
            <w:bookmarkEnd w:id="2"/>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035006"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117FBB2" w:rsidR="00B33F3E" w:rsidRPr="005C07C7" w:rsidRDefault="005C07C7" w:rsidP="00997EFA">
            <w:pPr>
              <w:pStyle w:val="rvps2"/>
              <w:spacing w:before="0" w:beforeAutospacing="0" w:after="0" w:afterAutospacing="0"/>
              <w:ind w:left="127" w:right="127"/>
              <w:jc w:val="center"/>
              <w:rPr>
                <w:b/>
                <w:bCs/>
                <w:lang w:val="en-US"/>
              </w:rPr>
            </w:pPr>
            <w:r>
              <w:rPr>
                <w:rStyle w:val="af7"/>
                <w:lang w:val="en-US"/>
              </w:rPr>
              <w:t>3.9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0EFC149A" w:rsidR="00B33F3E" w:rsidRPr="005C07C7" w:rsidRDefault="005C07C7" w:rsidP="00997EFA">
            <w:pPr>
              <w:pStyle w:val="rvps2"/>
              <w:spacing w:before="0" w:beforeAutospacing="0" w:after="0" w:afterAutospacing="0"/>
              <w:ind w:left="127" w:right="127"/>
              <w:jc w:val="center"/>
              <w:rPr>
                <w:b/>
                <w:bCs/>
                <w:lang w:val="en-US"/>
              </w:rPr>
            </w:pPr>
            <w:r>
              <w:rPr>
                <w:rStyle w:val="af7"/>
                <w:lang w:val="en-US"/>
              </w:rPr>
              <w:t>3.10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5DFC3609" w:rsidR="00B33F3E" w:rsidRPr="009C077B" w:rsidRDefault="00B33F3E" w:rsidP="00CC1702">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CC1702" w:rsidRPr="00035006">
              <w:rPr>
                <w:b/>
                <w:lang w:val="uk-UA"/>
              </w:rPr>
              <w:t>01.04</w:t>
            </w:r>
            <w:r w:rsidRPr="00035006">
              <w:rPr>
                <w:b/>
                <w:lang w:val="uk-UA"/>
              </w:rPr>
              <w:t>.</w:t>
            </w:r>
            <w:r w:rsidR="00D04B56" w:rsidRPr="00035006">
              <w:rPr>
                <w:b/>
                <w:lang w:val="uk-UA"/>
              </w:rPr>
              <w:t>2024</w:t>
            </w:r>
            <w:bookmarkStart w:id="13" w:name="_GoBack"/>
            <w:bookmarkEnd w:id="13"/>
            <w:r w:rsidRPr="00975D71">
              <w:rPr>
                <w:b/>
                <w:lang w:val="uk-UA"/>
              </w:rPr>
              <w:t xml:space="preserve">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4AE20FB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sidR="009F2490">
              <w:rPr>
                <w:rStyle w:val="rvts0"/>
              </w:rPr>
              <w:t>П</w:t>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81EF720" w:rsidR="00B33F3E"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w:t>
            </w:r>
            <w:r w:rsidR="000477F3">
              <w:rPr>
                <w:color w:val="333333"/>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477F3">
              <w:rPr>
                <w:rStyle w:val="rvts0"/>
              </w:rPr>
              <w:t>;</w:t>
            </w:r>
          </w:p>
          <w:p w14:paraId="56FB75BE" w14:textId="000472C6" w:rsidR="000477F3" w:rsidRPr="009C077B" w:rsidRDefault="000477F3" w:rsidP="00AD2C9F">
            <w:pPr>
              <w:pStyle w:val="rvps2"/>
              <w:spacing w:before="120" w:beforeAutospacing="0" w:after="0" w:afterAutospacing="0"/>
              <w:ind w:left="125" w:right="125" w:firstLine="142"/>
              <w:jc w:val="both"/>
              <w:rPr>
                <w:rStyle w:val="rvts0"/>
              </w:rPr>
            </w:pPr>
            <w:r>
              <w:rPr>
                <w:color w:val="333333"/>
                <w:shd w:val="clear" w:color="auto" w:fill="FFFFFF"/>
              </w:rPr>
              <w:t xml:space="preserve">замовникам забороняється здійснювати публічні закупівлі товарів </w:t>
            </w:r>
            <w:r>
              <w:rPr>
                <w:color w:val="333333"/>
                <w:shd w:val="clear" w:color="auto" w:fill="FFFFFF"/>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52A26FD5" w14:textId="77777777" w:rsidR="000477F3" w:rsidRPr="000477F3" w:rsidRDefault="000477F3" w:rsidP="000477F3">
            <w:pPr>
              <w:ind w:right="127"/>
              <w:rPr>
                <w:rFonts w:ascii="Times New Roman" w:hAnsi="Times New Roman"/>
                <w:lang w:val="uk-UA" w:eastAsia="uk-UA"/>
              </w:rPr>
            </w:pPr>
            <w:r w:rsidRPr="000477F3">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3CA91658" w14:textId="77777777" w:rsidR="000477F3" w:rsidRPr="000477F3" w:rsidRDefault="000477F3" w:rsidP="000477F3">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3DCB1140" w14:textId="77777777" w:rsidR="000477F3" w:rsidRPr="000477F3" w:rsidRDefault="000477F3" w:rsidP="000477F3">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32619194" w14:textId="77777777" w:rsidR="000477F3" w:rsidRPr="000477F3" w:rsidRDefault="000477F3" w:rsidP="000477F3">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641A9F9F" w14:textId="77777777" w:rsidR="000477F3" w:rsidRPr="000477F3" w:rsidRDefault="000477F3" w:rsidP="000477F3">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48BEEBFB" w14:textId="6C6A9430" w:rsidR="00155140" w:rsidRDefault="000477F3" w:rsidP="000477F3">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68B2739C" w14:textId="77777777" w:rsidR="000477F3" w:rsidRPr="000477F3" w:rsidRDefault="000477F3" w:rsidP="000477F3">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 xml:space="preserve">і, який надав найбільш економічно </w:t>
            </w:r>
            <w:r w:rsidR="00B33F3E" w:rsidRPr="00155140">
              <w:rPr>
                <w:color w:val="000000"/>
              </w:rPr>
              <w:lastRenderedPageBreak/>
              <w:t>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07E0E241"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4" w:name="n1589"/>
            <w:bookmarkEnd w:id="14"/>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5" w:name="n1608"/>
            <w:bookmarkStart w:id="16" w:name="n1609"/>
            <w:bookmarkEnd w:id="15"/>
            <w:bookmarkEnd w:id="16"/>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7" w:name="n525"/>
            <w:bookmarkEnd w:id="17"/>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8" w:name="n576"/>
            <w:bookmarkEnd w:id="18"/>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 xml:space="preserve">Дії замовника при відмові </w:t>
            </w:r>
            <w:r w:rsidRPr="009C077B">
              <w:rPr>
                <w:b/>
              </w:rPr>
              <w:lastRenderedPageBreak/>
              <w:t>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lastRenderedPageBreak/>
              <w:t xml:space="preserve">У разі відмови переможця процедури закупівлі від підписання договору про закупівлю відповідно до вимог тендерної </w:t>
            </w:r>
            <w:r w:rsidRPr="009C077B">
              <w:rPr>
                <w:rFonts w:ascii="Times New Roman CYR" w:hAnsi="Times New Roman CYR" w:cs="Times New Roman CYR"/>
                <w:lang w:eastAsia="ru-RU"/>
              </w:rPr>
              <w:lastRenderedPageBreak/>
              <w:t>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B958E3"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FF54080" w14:textId="799142B0" w:rsidR="006D05B4" w:rsidRPr="00D22215" w:rsidRDefault="006D05B4" w:rsidP="006D05B4">
            <w:pPr>
              <w:ind w:left="127" w:right="127" w:firstLine="141"/>
              <w:jc w:val="both"/>
              <w:rPr>
                <w:rStyle w:val="af7"/>
                <w:rFonts w:eastAsia="Calibri"/>
                <w:b w:val="0"/>
                <w:lang w:val="uk-UA"/>
              </w:rPr>
            </w:pPr>
            <w:bookmarkStart w:id="19" w:name="n463"/>
            <w:bookmarkEnd w:id="19"/>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w:t>
            </w:r>
            <w:r>
              <w:rPr>
                <w:rStyle w:val="af7"/>
                <w:rFonts w:eastAsia="Calibri"/>
                <w:b w:val="0"/>
                <w:lang w:val="uk-UA"/>
              </w:rPr>
              <w:t>2</w:t>
            </w:r>
            <w:r w:rsidRPr="00D22215">
              <w:rPr>
                <w:rStyle w:val="af7"/>
                <w:rFonts w:eastAsia="Calibri"/>
                <w:b w:val="0"/>
                <w:lang w:val="uk-UA"/>
              </w:rPr>
              <w:t xml:space="preserve"> % (</w:t>
            </w:r>
            <w:r>
              <w:rPr>
                <w:rStyle w:val="af7"/>
                <w:rFonts w:eastAsia="Calibri"/>
                <w:b w:val="0"/>
                <w:lang w:val="uk-UA"/>
              </w:rPr>
              <w:t>два відсотки</w:t>
            </w:r>
            <w:r w:rsidRPr="00D22215">
              <w:rPr>
                <w:rStyle w:val="af7"/>
                <w:rFonts w:eastAsia="Calibri"/>
                <w:b w:val="0"/>
                <w:lang w:val="uk-UA"/>
              </w:rPr>
              <w:t xml:space="preserve">) від вартості договору про закупівлю. </w:t>
            </w:r>
          </w:p>
          <w:p w14:paraId="7EB87298" w14:textId="77777777" w:rsidR="006D05B4" w:rsidRPr="00D22215" w:rsidRDefault="006D05B4" w:rsidP="006D05B4">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05113A6B" w14:textId="77777777" w:rsidR="006D05B4" w:rsidRPr="00D22215" w:rsidRDefault="006D05B4" w:rsidP="006D05B4">
            <w:pPr>
              <w:ind w:left="127" w:right="127" w:firstLine="141"/>
              <w:jc w:val="both"/>
              <w:rPr>
                <w:rStyle w:val="af7"/>
                <w:rFonts w:eastAsia="Calibri"/>
                <w:b w:val="0"/>
              </w:rPr>
            </w:pPr>
            <w:r w:rsidRPr="00D22215">
              <w:rPr>
                <w:rStyle w:val="af7"/>
                <w:rFonts w:eastAsia="Calibri"/>
                <w:b w:val="0"/>
              </w:rPr>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00FABE77" w14:textId="77777777" w:rsidR="006D05B4" w:rsidRPr="00D22215" w:rsidRDefault="006D05B4" w:rsidP="006D05B4">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2E69996C" w14:textId="77777777" w:rsidR="006D05B4" w:rsidRPr="00D22215" w:rsidRDefault="006D05B4" w:rsidP="006D05B4">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242F94EF" w14:textId="77777777" w:rsidR="006D05B4" w:rsidRPr="00B8786B" w:rsidRDefault="006D05B4" w:rsidP="006D05B4">
            <w:pPr>
              <w:pStyle w:val="af2"/>
              <w:spacing w:before="150" w:beforeAutospacing="0" w:after="150" w:afterAutospacing="0"/>
              <w:jc w:val="both"/>
            </w:pPr>
            <w:r w:rsidRPr="00B8786B">
              <w:rPr>
                <w:color w:val="000000"/>
              </w:rPr>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50716BDA" w14:textId="77777777" w:rsidR="006D05B4" w:rsidRPr="00B8786B" w:rsidRDefault="006D05B4" w:rsidP="006D05B4">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ісля виконання переможцем процедури закупівлі/спрощеної закупівлі договору про закупівлю; </w:t>
            </w:r>
          </w:p>
          <w:p w14:paraId="2A437648" w14:textId="77777777" w:rsidR="006D05B4" w:rsidRPr="00B8786B" w:rsidRDefault="006D05B4" w:rsidP="006D05B4">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791D6F7C" w14:textId="77777777" w:rsidR="006D05B4" w:rsidRPr="00B8786B" w:rsidRDefault="006D05B4" w:rsidP="006D05B4">
            <w:pPr>
              <w:pStyle w:val="af2"/>
              <w:spacing w:before="150" w:beforeAutospacing="0" w:after="150" w:afterAutospacing="0"/>
              <w:jc w:val="both"/>
            </w:pPr>
            <w:r w:rsidRPr="00B8786B">
              <w:rPr>
                <w:color w:val="000000"/>
              </w:rPr>
              <w:t>3) у випадках, передбачених пунктом 21 Особливостей; </w:t>
            </w:r>
          </w:p>
          <w:p w14:paraId="794AE540" w14:textId="77777777" w:rsidR="006D05B4" w:rsidRPr="00B8786B" w:rsidRDefault="006D05B4" w:rsidP="006D05B4">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4949B62B" w14:textId="77777777" w:rsidR="006D05B4" w:rsidRPr="00B8786B" w:rsidRDefault="006D05B4" w:rsidP="006D05B4">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7E32C37B" w14:textId="2BDE7B72" w:rsidR="00B8786B" w:rsidRPr="00B8786B" w:rsidRDefault="006D05B4" w:rsidP="006D05B4">
            <w:pPr>
              <w:pStyle w:val="af2"/>
              <w:spacing w:before="150" w:beforeAutospacing="0" w:after="150" w:afterAutospacing="0"/>
              <w:jc w:val="both"/>
              <w:rPr>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 xml:space="preserve">ідставі абзацу 4 підпункту 3 пункту </w:t>
            </w:r>
            <w:r w:rsidRPr="00B8786B">
              <w:rPr>
                <w:color w:val="000000"/>
              </w:rPr>
              <w:lastRenderedPageBreak/>
              <w:t>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1CB74CB5" w14:textId="77777777" w:rsidR="008032DC" w:rsidRDefault="008032DC" w:rsidP="00847239">
      <w:pPr>
        <w:widowControl/>
        <w:autoSpaceDE/>
        <w:autoSpaceDN/>
        <w:contextualSpacing/>
        <w:rPr>
          <w:rFonts w:ascii="Times New Roman" w:hAnsi="Times New Roman" w:cs="Times New Roman"/>
          <w:sz w:val="28"/>
          <w:szCs w:val="28"/>
          <w:lang w:val="uk-UA" w:eastAsia="uk-UA"/>
        </w:rPr>
      </w:pPr>
    </w:p>
    <w:p w14:paraId="10397A98" w14:textId="75111A2A" w:rsidR="00342762" w:rsidRPr="009C077B" w:rsidRDefault="00342762" w:rsidP="008032DC">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r w:rsidR="008032DC">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2C8FF537" w:rsidR="00342762" w:rsidRPr="007C266B" w:rsidRDefault="007C266B" w:rsidP="00342762">
      <w:pPr>
        <w:widowControl/>
        <w:autoSpaceDE/>
        <w:autoSpaceDN/>
        <w:contextualSpacing/>
        <w:jc w:val="both"/>
        <w:rPr>
          <w:rFonts w:ascii="Times New Roman" w:hAnsi="Times New Roman" w:cs="Times New Roman"/>
          <w:szCs w:val="28"/>
          <w:lang w:val="uk-UA" w:eastAsia="uk-UA"/>
        </w:rPr>
      </w:pPr>
      <w:r w:rsidRPr="007C266B">
        <w:rPr>
          <w:b/>
          <w:lang w:val="uk-UA"/>
        </w:rPr>
        <w:t xml:space="preserve">СВРЗ-24Т_028_ВО: Розчинник на основі уайт - спіриту (ДК 021:2015 – </w:t>
      </w:r>
      <w:r w:rsidRPr="007C266B">
        <w:rPr>
          <w:b/>
          <w:bCs/>
          <w:lang w:val="uk-UA"/>
        </w:rPr>
        <w:t>09220000-7 - Вазелін і парафіни нафтові та спеціальні бензини</w:t>
      </w:r>
      <w:r w:rsidRPr="007C266B">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8032DC"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7D5EA80B" w:rsidR="00342762" w:rsidRPr="009C077B" w:rsidRDefault="007C266B" w:rsidP="00155140">
            <w:pPr>
              <w:ind w:right="142"/>
              <w:jc w:val="center"/>
              <w:rPr>
                <w:rFonts w:ascii="Times New Roman" w:hAnsi="Times New Roman" w:cs="Times New Roman"/>
                <w:sz w:val="20"/>
                <w:szCs w:val="22"/>
                <w:lang w:val="uk-UA"/>
              </w:rPr>
            </w:pPr>
            <w:r w:rsidRPr="007C266B">
              <w:rPr>
                <w:rFonts w:ascii="Times New Roman" w:hAnsi="Times New Roman" w:cs="Times New Roman"/>
                <w:b/>
                <w:sz w:val="20"/>
                <w:szCs w:val="22"/>
                <w:lang w:val="uk-UA"/>
              </w:rPr>
              <w:t>Розчинник на основі уайт - спіриту</w:t>
            </w:r>
            <w:r w:rsidR="008032DC">
              <w:rPr>
                <w:rFonts w:ascii="Times New Roman" w:hAnsi="Times New Roman" w:cs="Times New Roman"/>
                <w:sz w:val="20"/>
                <w:szCs w:val="22"/>
                <w:lang w:val="uk-UA"/>
              </w:rPr>
              <w:t xml:space="preserve"> </w:t>
            </w:r>
            <w:r w:rsidR="00B3281B">
              <w:rPr>
                <w:rFonts w:ascii="Times New Roman" w:hAnsi="Times New Roman" w:cs="Times New Roman"/>
                <w:sz w:val="20"/>
                <w:szCs w:val="22"/>
                <w:lang w:val="uk-UA"/>
              </w:rPr>
              <w:t xml:space="preserve"> або еквівалент</w:t>
            </w:r>
          </w:p>
        </w:tc>
        <w:tc>
          <w:tcPr>
            <w:tcW w:w="2835" w:type="dxa"/>
          </w:tcPr>
          <w:p w14:paraId="6EA63617" w14:textId="349E0E4B" w:rsidR="00342762" w:rsidRPr="009C077B" w:rsidRDefault="008032D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 </w:t>
            </w:r>
            <w:r w:rsidR="00CE357D">
              <w:rPr>
                <w:rFonts w:ascii="Times New Roman" w:hAnsi="Times New Roman" w:cs="Times New Roman"/>
                <w:sz w:val="20"/>
                <w:szCs w:val="22"/>
                <w:lang w:val="uk-UA"/>
              </w:rPr>
              <w:t>технічні вимоги</w:t>
            </w:r>
          </w:p>
        </w:tc>
        <w:tc>
          <w:tcPr>
            <w:tcW w:w="1417" w:type="dxa"/>
          </w:tcPr>
          <w:p w14:paraId="79760F95" w14:textId="744E28D7" w:rsidR="00342762" w:rsidRPr="009C077B" w:rsidRDefault="00CE357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24515CC9" w:rsidR="00342762" w:rsidRPr="009C077B" w:rsidRDefault="007C266B"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60</w:t>
            </w:r>
            <w:r w:rsidR="00CE357D">
              <w:rPr>
                <w:rFonts w:ascii="Times New Roman" w:hAnsi="Times New Roman" w:cs="Times New Roman"/>
                <w:sz w:val="20"/>
                <w:szCs w:val="22"/>
                <w:lang w:val="uk-UA"/>
              </w:rPr>
              <w:t>00</w:t>
            </w:r>
          </w:p>
        </w:tc>
      </w:tr>
    </w:tbl>
    <w:p w14:paraId="5CBC6A94" w14:textId="77777777" w:rsidR="00CE357D" w:rsidRDefault="00CE357D" w:rsidP="00CE357D">
      <w:pPr>
        <w:jc w:val="center"/>
        <w:rPr>
          <w:b/>
          <w:lang w:val="uk-UA"/>
        </w:rPr>
      </w:pPr>
    </w:p>
    <w:p w14:paraId="462DD51A" w14:textId="77777777" w:rsidR="00E32AF3" w:rsidRDefault="00E32AF3" w:rsidP="00E32AF3">
      <w:pPr>
        <w:ind w:hanging="12"/>
        <w:jc w:val="center"/>
        <w:rPr>
          <w:rFonts w:ascii="Times New Roman" w:hAnsi="Times New Roman" w:cs="Times New Roman"/>
          <w:sz w:val="28"/>
          <w:szCs w:val="28"/>
        </w:rPr>
      </w:pPr>
      <w:r w:rsidRPr="00A22FFA">
        <w:rPr>
          <w:rFonts w:ascii="Times New Roman" w:hAnsi="Times New Roman" w:cs="Times New Roman"/>
          <w:sz w:val="28"/>
          <w:szCs w:val="28"/>
        </w:rPr>
        <w:t xml:space="preserve">Розчинник </w:t>
      </w:r>
      <w:proofErr w:type="gramStart"/>
      <w:r w:rsidRPr="00A22FFA">
        <w:rPr>
          <w:rFonts w:ascii="Times New Roman" w:hAnsi="Times New Roman" w:cs="Times New Roman"/>
          <w:sz w:val="28"/>
          <w:szCs w:val="28"/>
        </w:rPr>
        <w:t>на</w:t>
      </w:r>
      <w:proofErr w:type="gramEnd"/>
      <w:r w:rsidRPr="00A22FFA">
        <w:rPr>
          <w:rFonts w:ascii="Times New Roman" w:hAnsi="Times New Roman" w:cs="Times New Roman"/>
          <w:sz w:val="28"/>
          <w:szCs w:val="28"/>
        </w:rPr>
        <w:t xml:space="preserve"> основі уайт-спіриту</w:t>
      </w:r>
    </w:p>
    <w:p w14:paraId="67551D96" w14:textId="77777777" w:rsidR="00E32AF3" w:rsidRPr="006F4E69" w:rsidRDefault="00E32AF3" w:rsidP="00E32AF3">
      <w:pPr>
        <w:ind w:hanging="12"/>
        <w:jc w:val="center"/>
        <w:rPr>
          <w:rFonts w:ascii="Times New Roman" w:hAnsi="Times New Roman" w:cs="Times New Roman"/>
          <w:b/>
          <w:sz w:val="28"/>
          <w:szCs w:val="28"/>
        </w:rPr>
      </w:pPr>
    </w:p>
    <w:p w14:paraId="475CE6D9" w14:textId="77777777" w:rsidR="00E32AF3" w:rsidRPr="006D6BC0" w:rsidRDefault="00E32AF3" w:rsidP="00E32AF3">
      <w:pPr>
        <w:ind w:firstLine="720"/>
        <w:jc w:val="both"/>
        <w:rPr>
          <w:rFonts w:ascii="Times New Roman" w:hAnsi="Times New Roman" w:cs="Times New Roman"/>
          <w:b/>
        </w:rPr>
      </w:pPr>
      <w:bookmarkStart w:id="20" w:name="_Toc375233205"/>
      <w:proofErr w:type="gramStart"/>
      <w:r w:rsidRPr="006D6BC0">
        <w:rPr>
          <w:rFonts w:ascii="Times New Roman" w:hAnsi="Times New Roman" w:cs="Times New Roman"/>
          <w:b/>
        </w:rPr>
        <w:t>Техн</w:t>
      </w:r>
      <w:proofErr w:type="gramEnd"/>
      <w:r w:rsidRPr="006D6BC0">
        <w:rPr>
          <w:rFonts w:ascii="Times New Roman" w:hAnsi="Times New Roman" w:cs="Times New Roman"/>
          <w:b/>
        </w:rPr>
        <w:t>ічні вимоги</w:t>
      </w:r>
    </w:p>
    <w:p w14:paraId="5210E720" w14:textId="77777777" w:rsidR="00E32AF3" w:rsidRDefault="00E32AF3" w:rsidP="00E32AF3">
      <w:pPr>
        <w:ind w:firstLine="720"/>
        <w:jc w:val="both"/>
        <w:rPr>
          <w:rFonts w:ascii="Times New Roman" w:hAnsi="Times New Roman" w:cs="Times New Roman"/>
        </w:rPr>
      </w:pPr>
      <w:r w:rsidRPr="00A22FFA">
        <w:rPr>
          <w:rFonts w:ascii="Times New Roman" w:hAnsi="Times New Roman" w:cs="Times New Roman"/>
        </w:rPr>
        <w:t xml:space="preserve">Розчинник </w:t>
      </w:r>
      <w:proofErr w:type="gramStart"/>
      <w:r w:rsidRPr="00A22FFA">
        <w:rPr>
          <w:rFonts w:ascii="Times New Roman" w:hAnsi="Times New Roman" w:cs="Times New Roman"/>
        </w:rPr>
        <w:t>на</w:t>
      </w:r>
      <w:proofErr w:type="gramEnd"/>
      <w:r w:rsidRPr="00A22FFA">
        <w:rPr>
          <w:rFonts w:ascii="Times New Roman" w:hAnsi="Times New Roman" w:cs="Times New Roman"/>
        </w:rPr>
        <w:t xml:space="preserve"> основі уайт-спіриту</w:t>
      </w:r>
      <w:r w:rsidRPr="00C479A1">
        <w:rPr>
          <w:rFonts w:ascii="Times New Roman" w:hAnsi="Times New Roman" w:cs="Times New Roman"/>
        </w:rPr>
        <w:t xml:space="preserve"> застосовують </w:t>
      </w:r>
      <w:r w:rsidRPr="00DD6BA9">
        <w:rPr>
          <w:rFonts w:ascii="Times New Roman" w:hAnsi="Times New Roman" w:cs="Times New Roman"/>
        </w:rPr>
        <w:t>при розведенні алкідних, лакових і олійних фарб.</w:t>
      </w:r>
      <w:r>
        <w:rPr>
          <w:rFonts w:ascii="Times New Roman" w:hAnsi="Times New Roman" w:cs="Times New Roman"/>
        </w:rPr>
        <w:t xml:space="preserve"> </w:t>
      </w:r>
      <w:r w:rsidRPr="00DD6BA9">
        <w:rPr>
          <w:rFonts w:ascii="Times New Roman" w:hAnsi="Times New Roman" w:cs="Times New Roman"/>
        </w:rPr>
        <w:t xml:space="preserve">Уайт-спірит виконує і інші функції, наприклад, чудово розчиняє </w:t>
      </w:r>
      <w:proofErr w:type="gramStart"/>
      <w:r w:rsidRPr="00DD6BA9">
        <w:rPr>
          <w:rFonts w:ascii="Times New Roman" w:hAnsi="Times New Roman" w:cs="Times New Roman"/>
        </w:rPr>
        <w:t>р</w:t>
      </w:r>
      <w:proofErr w:type="gramEnd"/>
      <w:r w:rsidRPr="00DD6BA9">
        <w:rPr>
          <w:rFonts w:ascii="Times New Roman" w:hAnsi="Times New Roman" w:cs="Times New Roman"/>
        </w:rPr>
        <w:t>ізні масла і жири. Такі розчинники застосовують для чищення електродвигунів.</w:t>
      </w:r>
    </w:p>
    <w:p w14:paraId="6D7F9DB9" w14:textId="77777777" w:rsidR="00E32AF3" w:rsidRPr="00C479A1" w:rsidRDefault="00E32AF3" w:rsidP="00E32AF3">
      <w:pPr>
        <w:ind w:firstLine="720"/>
        <w:jc w:val="both"/>
        <w:rPr>
          <w:rFonts w:ascii="Times New Roman" w:hAnsi="Times New Roman" w:cs="Times New Roman"/>
        </w:rPr>
      </w:pPr>
      <w:r w:rsidRPr="00A22FFA">
        <w:rPr>
          <w:rFonts w:ascii="Times New Roman" w:hAnsi="Times New Roman" w:cs="Times New Roman"/>
        </w:rPr>
        <w:t>Розчинник на основі уайт-спіриту</w:t>
      </w:r>
      <w:r w:rsidRPr="00C479A1">
        <w:rPr>
          <w:rFonts w:ascii="Times New Roman" w:hAnsi="Times New Roman" w:cs="Times New Roman"/>
        </w:rPr>
        <w:t xml:space="preserve"> </w:t>
      </w:r>
      <w:proofErr w:type="gramStart"/>
      <w:r w:rsidRPr="00C479A1">
        <w:rPr>
          <w:rFonts w:ascii="Times New Roman" w:hAnsi="Times New Roman" w:cs="Times New Roman"/>
        </w:rPr>
        <w:t>повинен</w:t>
      </w:r>
      <w:proofErr w:type="gramEnd"/>
      <w:r w:rsidRPr="00C479A1">
        <w:rPr>
          <w:rFonts w:ascii="Times New Roman" w:hAnsi="Times New Roman" w:cs="Times New Roman"/>
        </w:rPr>
        <w:t xml:space="preserve"> відповідати наступним вимогам:</w:t>
      </w:r>
    </w:p>
    <w:p w14:paraId="53D2C003" w14:textId="77777777" w:rsidR="00E32AF3" w:rsidRDefault="00E32AF3" w:rsidP="00E32AF3">
      <w:pPr>
        <w:widowControl/>
        <w:numPr>
          <w:ilvl w:val="0"/>
          <w:numId w:val="45"/>
        </w:numPr>
        <w:tabs>
          <w:tab w:val="left" w:pos="993"/>
        </w:tabs>
        <w:autoSpaceDE/>
        <w:autoSpaceDN/>
        <w:jc w:val="both"/>
        <w:rPr>
          <w:rFonts w:ascii="Times New Roman" w:hAnsi="Times New Roman" w:cs="Times New Roman"/>
        </w:rPr>
      </w:pPr>
      <w:r>
        <w:rPr>
          <w:rFonts w:ascii="Times New Roman" w:hAnsi="Times New Roman" w:cs="Times New Roman"/>
        </w:rPr>
        <w:t>П</w:t>
      </w:r>
      <w:r w:rsidRPr="00BE581D">
        <w:rPr>
          <w:rFonts w:ascii="Times New Roman" w:hAnsi="Times New Roman" w:cs="Times New Roman"/>
        </w:rPr>
        <w:t>оказник летючості – 3.5 … 5;</w:t>
      </w:r>
    </w:p>
    <w:p w14:paraId="571D0C07" w14:textId="4F1060E3" w:rsidR="00E32AF3" w:rsidRDefault="00E32AF3" w:rsidP="00E32AF3">
      <w:pPr>
        <w:widowControl/>
        <w:numPr>
          <w:ilvl w:val="0"/>
          <w:numId w:val="45"/>
        </w:numPr>
        <w:tabs>
          <w:tab w:val="left" w:pos="993"/>
        </w:tabs>
        <w:autoSpaceDE/>
        <w:autoSpaceDN/>
        <w:jc w:val="both"/>
        <w:rPr>
          <w:rFonts w:ascii="Times New Roman" w:hAnsi="Times New Roman" w:cs="Times New Roman"/>
        </w:rPr>
      </w:pPr>
      <w:r>
        <w:rPr>
          <w:rFonts w:ascii="Times New Roman" w:hAnsi="Times New Roman" w:cs="Times New Roman"/>
        </w:rPr>
        <w:t>Густина</w:t>
      </w:r>
      <w:r w:rsidRPr="00BE581D">
        <w:rPr>
          <w:rFonts w:ascii="Times New Roman" w:hAnsi="Times New Roman" w:cs="Times New Roman"/>
        </w:rPr>
        <w:t xml:space="preserve"> розчинника при 20</w:t>
      </w:r>
      <w:proofErr w:type="gramStart"/>
      <w:r w:rsidRPr="00BE581D">
        <w:rPr>
          <w:rFonts w:ascii="Times New Roman" w:hAnsi="Times New Roman" w:cs="Times New Roman"/>
        </w:rPr>
        <w:t xml:space="preserve"> ° С</w:t>
      </w:r>
      <w:proofErr w:type="gramEnd"/>
      <w:r w:rsidRPr="00BE581D">
        <w:rPr>
          <w:rFonts w:ascii="Times New Roman" w:hAnsi="Times New Roman" w:cs="Times New Roman"/>
        </w:rPr>
        <w:t xml:space="preserve"> – </w:t>
      </w:r>
      <w:r w:rsidR="00CC1702">
        <w:rPr>
          <w:rFonts w:ascii="Times New Roman" w:hAnsi="Times New Roman" w:cs="Times New Roman"/>
          <w:lang w:val="uk-UA"/>
        </w:rPr>
        <w:t xml:space="preserve">не більше </w:t>
      </w:r>
      <w:r w:rsidRPr="00BE581D">
        <w:rPr>
          <w:rFonts w:ascii="Times New Roman" w:hAnsi="Times New Roman" w:cs="Times New Roman"/>
        </w:rPr>
        <w:t>0</w:t>
      </w:r>
      <w:r>
        <w:rPr>
          <w:rFonts w:ascii="Times New Roman" w:hAnsi="Times New Roman" w:cs="Times New Roman"/>
        </w:rPr>
        <w:t>,</w:t>
      </w:r>
      <w:r w:rsidR="00CC1702">
        <w:rPr>
          <w:rFonts w:ascii="Times New Roman" w:hAnsi="Times New Roman" w:cs="Times New Roman"/>
          <w:lang w:val="uk-UA"/>
        </w:rPr>
        <w:t>7</w:t>
      </w:r>
      <w:r w:rsidRPr="00BE581D">
        <w:rPr>
          <w:rFonts w:ascii="Times New Roman" w:hAnsi="Times New Roman" w:cs="Times New Roman"/>
        </w:rPr>
        <w:t>9 г / см</w:t>
      </w:r>
      <w:r w:rsidRPr="007940E5">
        <w:rPr>
          <w:rFonts w:ascii="Times New Roman" w:hAnsi="Times New Roman" w:cs="Times New Roman"/>
          <w:vertAlign w:val="superscript"/>
        </w:rPr>
        <w:t>3</w:t>
      </w:r>
      <w:r w:rsidRPr="00BE581D">
        <w:rPr>
          <w:rFonts w:ascii="Times New Roman" w:hAnsi="Times New Roman" w:cs="Times New Roman"/>
        </w:rPr>
        <w:t>;</w:t>
      </w:r>
    </w:p>
    <w:p w14:paraId="106359B0" w14:textId="77777777" w:rsidR="00E32AF3" w:rsidRDefault="00E32AF3" w:rsidP="00E32AF3">
      <w:pPr>
        <w:widowControl/>
        <w:numPr>
          <w:ilvl w:val="0"/>
          <w:numId w:val="45"/>
        </w:numPr>
        <w:tabs>
          <w:tab w:val="left" w:pos="993"/>
        </w:tabs>
        <w:autoSpaceDE/>
        <w:autoSpaceDN/>
        <w:jc w:val="both"/>
        <w:rPr>
          <w:rFonts w:ascii="Times New Roman" w:hAnsi="Times New Roman" w:cs="Times New Roman"/>
        </w:rPr>
      </w:pPr>
      <w:r>
        <w:rPr>
          <w:rFonts w:ascii="Times New Roman" w:hAnsi="Times New Roman" w:cs="Times New Roman"/>
        </w:rPr>
        <w:t>Прозорий</w:t>
      </w:r>
    </w:p>
    <w:bookmarkEnd w:id="20"/>
    <w:p w14:paraId="4E74730D" w14:textId="77777777" w:rsidR="00E32AF3" w:rsidRDefault="00E32AF3" w:rsidP="00E32AF3">
      <w:pPr>
        <w:ind w:firstLine="709"/>
        <w:jc w:val="both"/>
        <w:rPr>
          <w:rFonts w:ascii="Times New Roman" w:hAnsi="Times New Roman" w:cs="Times New Roman"/>
        </w:rPr>
      </w:pPr>
    </w:p>
    <w:p w14:paraId="04758694" w14:textId="4E5F2C7D" w:rsidR="00E32AF3" w:rsidRPr="00FF6F9B" w:rsidRDefault="00E32AF3" w:rsidP="00FF6F9B">
      <w:pPr>
        <w:ind w:firstLine="709"/>
        <w:jc w:val="both"/>
        <w:rPr>
          <w:rFonts w:ascii="Times New Roman" w:hAnsi="Times New Roman" w:cs="Times New Roman"/>
          <w:lang w:val="uk-UA"/>
        </w:rPr>
      </w:pPr>
      <w:r w:rsidRPr="007C680F">
        <w:rPr>
          <w:rFonts w:ascii="Times New Roman" w:hAnsi="Times New Roman" w:cs="Times New Roman"/>
          <w:i/>
        </w:rPr>
        <w:t xml:space="preserve">Примітка. У разі відсутності в </w:t>
      </w:r>
      <w:proofErr w:type="gramStart"/>
      <w:r w:rsidRPr="007C680F">
        <w:rPr>
          <w:rFonts w:ascii="Times New Roman" w:hAnsi="Times New Roman" w:cs="Times New Roman"/>
          <w:i/>
        </w:rPr>
        <w:t>техн</w:t>
      </w:r>
      <w:proofErr w:type="gramEnd"/>
      <w:r w:rsidRPr="007C680F">
        <w:rPr>
          <w:rFonts w:ascii="Times New Roman" w:hAnsi="Times New Roman" w:cs="Times New Roman"/>
          <w:i/>
        </w:rPr>
        <w:t>ічній документації виробника (нормативному документі або витягах з нього, етикетці, паспорті тощо) деяких технічних характеристик з тих, що зазначені у вимогах покупця, постачальником може бути підтверджено відповідність вказаним характеристикам у гарантійному листі, де зазначаються такі характеристики і гарантується ї</w:t>
      </w:r>
      <w:r>
        <w:rPr>
          <w:rFonts w:ascii="Times New Roman" w:hAnsi="Times New Roman" w:cs="Times New Roman"/>
          <w:i/>
        </w:rPr>
        <w:t>х відповідність вимогам покупця</w:t>
      </w:r>
      <w:r w:rsidRPr="00E00067">
        <w:rPr>
          <w:rFonts w:ascii="Times New Roman" w:hAnsi="Times New Roman" w:cs="Times New Roman"/>
          <w:i/>
        </w:rPr>
        <w:t>.</w:t>
      </w:r>
    </w:p>
    <w:p w14:paraId="2BB89277" w14:textId="77777777" w:rsidR="00E32AF3" w:rsidRDefault="00E32AF3" w:rsidP="00E32AF3">
      <w:pPr>
        <w:tabs>
          <w:tab w:val="left" w:pos="1418"/>
          <w:tab w:val="num" w:pos="1637"/>
        </w:tabs>
        <w:ind w:right="-1" w:firstLine="709"/>
        <w:jc w:val="both"/>
        <w:rPr>
          <w:rFonts w:ascii="Times New Roman" w:hAnsi="Times New Roman" w:cs="Times New Roman"/>
          <w:b/>
        </w:rPr>
      </w:pPr>
      <w:r>
        <w:rPr>
          <w:rFonts w:ascii="Times New Roman" w:hAnsi="Times New Roman" w:cs="Times New Roman"/>
          <w:b/>
        </w:rPr>
        <w:t xml:space="preserve">Гарантійні зобов’язання </w:t>
      </w:r>
    </w:p>
    <w:p w14:paraId="069393DB" w14:textId="343A870F" w:rsidR="00E32AF3" w:rsidRPr="00FF6F9B" w:rsidRDefault="00E32AF3" w:rsidP="00FF6F9B">
      <w:pPr>
        <w:tabs>
          <w:tab w:val="left" w:pos="1418"/>
          <w:tab w:val="num" w:pos="1637"/>
        </w:tabs>
        <w:ind w:right="-1" w:firstLine="709"/>
        <w:jc w:val="both"/>
        <w:rPr>
          <w:rFonts w:ascii="Times New Roman" w:eastAsia="Arial Unicode MS" w:hAnsi="Times New Roman" w:cs="Times New Roman"/>
          <w:lang w:val="uk-UA"/>
        </w:rPr>
      </w:pPr>
      <w:r w:rsidRPr="007940E5">
        <w:rPr>
          <w:rFonts w:ascii="Times New Roman" w:eastAsia="Arial Unicode MS" w:hAnsi="Times New Roman" w:cs="Times New Roman"/>
        </w:rPr>
        <w:t xml:space="preserve">Відповідно до </w:t>
      </w:r>
      <w:proofErr w:type="gramStart"/>
      <w:r w:rsidRPr="007940E5">
        <w:rPr>
          <w:rFonts w:ascii="Times New Roman" w:eastAsia="Arial Unicode MS" w:hAnsi="Times New Roman" w:cs="Times New Roman"/>
        </w:rPr>
        <w:t>нормативного</w:t>
      </w:r>
      <w:proofErr w:type="gramEnd"/>
      <w:r w:rsidRPr="007940E5">
        <w:rPr>
          <w:rFonts w:ascii="Times New Roman" w:eastAsia="Arial Unicode MS" w:hAnsi="Times New Roman" w:cs="Times New Roman"/>
        </w:rPr>
        <w:t xml:space="preserve"> документу виробника</w:t>
      </w:r>
    </w:p>
    <w:p w14:paraId="669BF087" w14:textId="77777777" w:rsidR="00E32AF3" w:rsidRDefault="00E32AF3" w:rsidP="00E32AF3">
      <w:pPr>
        <w:ind w:firstLine="709"/>
        <w:rPr>
          <w:rFonts w:ascii="Times New Roman" w:hAnsi="Times New Roman" w:cs="Times New Roman"/>
          <w:b/>
        </w:rPr>
      </w:pPr>
      <w:r>
        <w:rPr>
          <w:rFonts w:ascii="Times New Roman" w:hAnsi="Times New Roman" w:cs="Times New Roman"/>
          <w:b/>
        </w:rPr>
        <w:t xml:space="preserve">Умови зберігання </w:t>
      </w:r>
    </w:p>
    <w:p w14:paraId="23BB5662" w14:textId="445C2783" w:rsidR="00E32AF3" w:rsidRPr="00FF6F9B" w:rsidRDefault="00E32AF3" w:rsidP="00FF6F9B">
      <w:pPr>
        <w:ind w:firstLine="709"/>
        <w:rPr>
          <w:rFonts w:ascii="Times New Roman" w:eastAsia="Arial" w:hAnsi="Times New Roman" w:cs="Times New Roman"/>
        </w:rPr>
      </w:pPr>
      <w:r>
        <w:rPr>
          <w:rFonts w:ascii="Times New Roman" w:hAnsi="Times New Roman" w:cs="Times New Roman"/>
        </w:rPr>
        <w:t xml:space="preserve">Відповідно до </w:t>
      </w:r>
      <w:proofErr w:type="gramStart"/>
      <w:r>
        <w:rPr>
          <w:rFonts w:ascii="Times New Roman" w:hAnsi="Times New Roman" w:cs="Times New Roman"/>
        </w:rPr>
        <w:t>нормативного</w:t>
      </w:r>
      <w:proofErr w:type="gramEnd"/>
      <w:r>
        <w:rPr>
          <w:rFonts w:ascii="Times New Roman" w:hAnsi="Times New Roman" w:cs="Times New Roman"/>
        </w:rPr>
        <w:t xml:space="preserve"> документу виробника.</w:t>
      </w:r>
    </w:p>
    <w:p w14:paraId="64EDABF1" w14:textId="77777777" w:rsidR="00E32AF3" w:rsidRDefault="00E32AF3" w:rsidP="00E32AF3">
      <w:pPr>
        <w:ind w:firstLine="709"/>
        <w:rPr>
          <w:rFonts w:ascii="Times New Roman" w:hAnsi="Times New Roman" w:cs="Times New Roman"/>
          <w:b/>
        </w:rPr>
      </w:pPr>
      <w:r>
        <w:rPr>
          <w:rFonts w:ascii="Times New Roman" w:hAnsi="Times New Roman" w:cs="Times New Roman"/>
          <w:b/>
        </w:rPr>
        <w:t xml:space="preserve">Умови транспортування </w:t>
      </w:r>
    </w:p>
    <w:p w14:paraId="0C21C3BA" w14:textId="1E6496FF" w:rsidR="00E32AF3" w:rsidRPr="00FF6F9B" w:rsidRDefault="00E32AF3" w:rsidP="00FF6F9B">
      <w:pPr>
        <w:ind w:firstLine="709"/>
        <w:rPr>
          <w:rFonts w:ascii="Times New Roman" w:hAnsi="Times New Roman" w:cs="Times New Roman"/>
        </w:rPr>
      </w:pPr>
      <w:r>
        <w:rPr>
          <w:rFonts w:ascii="Times New Roman" w:hAnsi="Times New Roman" w:cs="Times New Roman"/>
        </w:rPr>
        <w:t xml:space="preserve">Відповідно до </w:t>
      </w:r>
      <w:proofErr w:type="gramStart"/>
      <w:r>
        <w:rPr>
          <w:rFonts w:ascii="Times New Roman" w:hAnsi="Times New Roman" w:cs="Times New Roman"/>
        </w:rPr>
        <w:t>нормативного</w:t>
      </w:r>
      <w:proofErr w:type="gramEnd"/>
      <w:r>
        <w:rPr>
          <w:rFonts w:ascii="Times New Roman" w:hAnsi="Times New Roman" w:cs="Times New Roman"/>
        </w:rPr>
        <w:t xml:space="preserve"> документу виробника.</w:t>
      </w:r>
    </w:p>
    <w:p w14:paraId="065E6E65" w14:textId="77777777" w:rsidR="00E32AF3" w:rsidRDefault="00E32AF3" w:rsidP="00E32AF3">
      <w:pPr>
        <w:ind w:firstLine="709"/>
        <w:rPr>
          <w:rFonts w:ascii="Times New Roman" w:hAnsi="Times New Roman" w:cs="Times New Roman"/>
          <w:b/>
        </w:rPr>
      </w:pPr>
      <w:r>
        <w:rPr>
          <w:rFonts w:ascii="Times New Roman" w:hAnsi="Times New Roman" w:cs="Times New Roman"/>
          <w:b/>
        </w:rPr>
        <w:t xml:space="preserve">Умови пакування, маркування </w:t>
      </w:r>
    </w:p>
    <w:p w14:paraId="1D157719" w14:textId="3883E927" w:rsidR="00CE357D" w:rsidRPr="00E32AF3" w:rsidRDefault="00E32AF3" w:rsidP="00E32AF3">
      <w:pPr>
        <w:ind w:firstLine="709"/>
        <w:jc w:val="both"/>
        <w:rPr>
          <w:rFonts w:ascii="Times New Roman" w:hAnsi="Times New Roman" w:cs="Times New Roman"/>
        </w:rPr>
      </w:pPr>
      <w:r>
        <w:rPr>
          <w:rFonts w:ascii="Times New Roman" w:hAnsi="Times New Roman" w:cs="Times New Roman"/>
        </w:rPr>
        <w:t xml:space="preserve">Відповідно до </w:t>
      </w:r>
      <w:proofErr w:type="gramStart"/>
      <w:r>
        <w:rPr>
          <w:rFonts w:ascii="Times New Roman" w:hAnsi="Times New Roman" w:cs="Times New Roman"/>
        </w:rPr>
        <w:t>нормативного</w:t>
      </w:r>
      <w:proofErr w:type="gramEnd"/>
      <w:r>
        <w:rPr>
          <w:rFonts w:ascii="Times New Roman" w:hAnsi="Times New Roman" w:cs="Times New Roman"/>
        </w:rPr>
        <w:t xml:space="preserve"> документу виробника.</w:t>
      </w:r>
    </w:p>
    <w:p w14:paraId="47F3544A" w14:textId="6F5EC09B" w:rsidR="002C214E" w:rsidRPr="00CE357D" w:rsidRDefault="002C214E" w:rsidP="002C214E">
      <w:pPr>
        <w:rPr>
          <w:rFonts w:ascii="Times New Roman" w:eastAsia="Calibri" w:hAnsi="Times New Roman" w:cs="Times New Roman"/>
          <w:b/>
          <w:bCs/>
          <w:sz w:val="28"/>
          <w:szCs w:val="28"/>
          <w:lang w:eastAsia="en-US"/>
        </w:rPr>
      </w:pPr>
    </w:p>
    <w:p w14:paraId="7DF7E768"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 xml:space="preserve">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w:t>
      </w:r>
      <w:r w:rsidRPr="009C077B">
        <w:rPr>
          <w:rFonts w:ascii="Times New Roman" w:hAnsi="Times New Roman" w:cs="Times New Roman"/>
          <w:iCs/>
          <w:lang w:val="uk-UA" w:eastAsia="uk-UA"/>
        </w:rPr>
        <w:lastRenderedPageBreak/>
        <w:t>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2D461D49"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E32AF3">
        <w:rPr>
          <w:lang w:val="en-US"/>
        </w:rPr>
        <w:t>DD</w:t>
      </w:r>
      <w:r w:rsidR="00403118">
        <w:rPr>
          <w:lang w:val="en-US"/>
        </w:rPr>
        <w:t>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21F69D6F"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0477F3">
        <w:rPr>
          <w:rFonts w:ascii="Times New Roman" w:hAnsi="Times New Roman" w:cs="Times New Roman"/>
          <w:lang w:eastAsia="uk-UA"/>
        </w:rPr>
        <w:t>202</w:t>
      </w:r>
      <w:r w:rsidR="000477F3">
        <w:rPr>
          <w:rFonts w:ascii="Times New Roman" w:hAnsi="Times New Roman" w:cs="Times New Roman"/>
          <w:lang w:val="uk-UA"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0AF98D40"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r w:rsidR="00A84103">
        <w:rPr>
          <w:rFonts w:ascii="Times New Roman" w:hAnsi="Times New Roman" w:cs="Times New Roman"/>
          <w:b/>
          <w:sz w:val="28"/>
          <w:szCs w:val="28"/>
          <w:lang w:val="uk-UA"/>
        </w:rPr>
        <w:t xml:space="preserve"> </w:t>
      </w:r>
    </w:p>
    <w:tbl>
      <w:tblPr>
        <w:tblW w:w="10627" w:type="dxa"/>
        <w:tblLayout w:type="fixed"/>
        <w:tblLook w:val="0000" w:firstRow="0" w:lastRow="0" w:firstColumn="0" w:lastColumn="0" w:noHBand="0" w:noVBand="0"/>
      </w:tblPr>
      <w:tblGrid>
        <w:gridCol w:w="534"/>
        <w:gridCol w:w="1842"/>
        <w:gridCol w:w="8251"/>
      </w:tblGrid>
      <w:tr w:rsidR="00342762" w:rsidRPr="00035006"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35DB581" w14:textId="742C36C9" w:rsidR="005E4A9E" w:rsidRPr="00B41A96" w:rsidRDefault="005E4A9E" w:rsidP="005E4A9E">
            <w:pPr>
              <w:jc w:val="both"/>
              <w:rPr>
                <w:rFonts w:cs="Times New Roman"/>
              </w:rPr>
            </w:pPr>
            <w:r>
              <w:rPr>
                <w:rFonts w:cs="Times New Roman"/>
              </w:rPr>
              <w:t>1.</w:t>
            </w:r>
            <w:r>
              <w:rPr>
                <w:rFonts w:cs="Times New Roman"/>
                <w:lang w:val="uk-UA"/>
              </w:rPr>
              <w:t>1.</w:t>
            </w:r>
            <w:r w:rsidRPr="00B41A96">
              <w:rPr>
                <w:rFonts w:cs="Times New Roman"/>
              </w:rPr>
              <w:t xml:space="preserve"> На продукцію, щодо якої проводиться добровільна оцінка відповідності заявленим вимогам надати оригінал або копію одного з наступних документі</w:t>
            </w:r>
            <w:proofErr w:type="gramStart"/>
            <w:r w:rsidRPr="00B41A96">
              <w:rPr>
                <w:rFonts w:cs="Times New Roman"/>
              </w:rPr>
              <w:t>в</w:t>
            </w:r>
            <w:proofErr w:type="gramEnd"/>
            <w:r w:rsidRPr="00B41A96">
              <w:rPr>
                <w:rFonts w:cs="Times New Roman"/>
              </w:rPr>
              <w:t xml:space="preserve"> про відповідність:</w:t>
            </w:r>
          </w:p>
          <w:p w14:paraId="2D08EFB4" w14:textId="77777777" w:rsidR="005E4A9E" w:rsidRPr="00B41A96" w:rsidRDefault="005E4A9E" w:rsidP="005E4A9E">
            <w:pPr>
              <w:rPr>
                <w:rFonts w:cs="Times New Roman"/>
              </w:rPr>
            </w:pPr>
            <w:r w:rsidRPr="00B41A96">
              <w:rPr>
                <w:rFonts w:cs="Times New Roman"/>
              </w:rPr>
              <w:t>- декларації (</w:t>
            </w:r>
            <w:proofErr w:type="gramStart"/>
            <w:r w:rsidRPr="00B41A96">
              <w:rPr>
                <w:rFonts w:cs="Times New Roman"/>
              </w:rPr>
              <w:t>у</w:t>
            </w:r>
            <w:proofErr w:type="gramEnd"/>
            <w:r w:rsidRPr="00B41A96">
              <w:rPr>
                <w:rFonts w:cs="Times New Roman"/>
              </w:rPr>
              <w:t xml:space="preserve"> тому числі декларації про відповідність);</w:t>
            </w:r>
          </w:p>
          <w:p w14:paraId="4AE09E10" w14:textId="77777777" w:rsidR="005E4A9E" w:rsidRPr="00B41A96" w:rsidRDefault="005E4A9E" w:rsidP="005E4A9E">
            <w:pPr>
              <w:rPr>
                <w:rFonts w:cs="Times New Roman"/>
              </w:rPr>
            </w:pPr>
            <w:r w:rsidRPr="00B41A96">
              <w:rPr>
                <w:rFonts w:cs="Times New Roman"/>
              </w:rPr>
              <w:t>- протоколу (</w:t>
            </w:r>
            <w:proofErr w:type="gramStart"/>
            <w:r w:rsidRPr="00B41A96">
              <w:rPr>
                <w:rFonts w:cs="Times New Roman"/>
              </w:rPr>
              <w:t>у</w:t>
            </w:r>
            <w:proofErr w:type="gramEnd"/>
            <w:r w:rsidRPr="00B41A96">
              <w:rPr>
                <w:rFonts w:cs="Times New Roman"/>
              </w:rPr>
              <w:t xml:space="preserve"> тому числі протоколу випробувань);</w:t>
            </w:r>
          </w:p>
          <w:p w14:paraId="261CA534" w14:textId="77777777" w:rsidR="005E4A9E" w:rsidRPr="00B41A96" w:rsidRDefault="005E4A9E" w:rsidP="005E4A9E">
            <w:pPr>
              <w:rPr>
                <w:rFonts w:cs="Times New Roman"/>
              </w:rPr>
            </w:pPr>
            <w:r w:rsidRPr="00B41A96">
              <w:rPr>
                <w:rFonts w:cs="Times New Roman"/>
              </w:rPr>
              <w:t>- звіту;</w:t>
            </w:r>
          </w:p>
          <w:p w14:paraId="33FA8A1E" w14:textId="77777777" w:rsidR="005E4A9E" w:rsidRPr="00B41A96" w:rsidRDefault="005E4A9E" w:rsidP="005E4A9E">
            <w:pPr>
              <w:rPr>
                <w:rFonts w:cs="Times New Roman"/>
              </w:rPr>
            </w:pPr>
            <w:r w:rsidRPr="00B41A96">
              <w:rPr>
                <w:rFonts w:cs="Times New Roman"/>
              </w:rPr>
              <w:t>- висновку;</w:t>
            </w:r>
          </w:p>
          <w:p w14:paraId="2D916CA7" w14:textId="77777777" w:rsidR="005E4A9E" w:rsidRPr="00B41A96" w:rsidRDefault="005E4A9E" w:rsidP="005E4A9E">
            <w:pPr>
              <w:rPr>
                <w:rFonts w:cs="Times New Roman"/>
              </w:rPr>
            </w:pPr>
            <w:r w:rsidRPr="00B41A96">
              <w:rPr>
                <w:rFonts w:cs="Times New Roman"/>
              </w:rPr>
              <w:t>- сертифікату (</w:t>
            </w:r>
            <w:proofErr w:type="gramStart"/>
            <w:r w:rsidRPr="00B41A96">
              <w:rPr>
                <w:rFonts w:cs="Times New Roman"/>
              </w:rPr>
              <w:t>у</w:t>
            </w:r>
            <w:proofErr w:type="gramEnd"/>
            <w:r w:rsidRPr="00B41A96">
              <w:rPr>
                <w:rFonts w:cs="Times New Roman"/>
              </w:rPr>
              <w:t xml:space="preserve"> тому числі сертифікату відповідності);</w:t>
            </w:r>
          </w:p>
          <w:p w14:paraId="3F020EA5" w14:textId="77777777" w:rsidR="005E4A9E" w:rsidRPr="00B41A96" w:rsidRDefault="005E4A9E" w:rsidP="005E4A9E">
            <w:pPr>
              <w:rPr>
                <w:rFonts w:cs="Times New Roman"/>
              </w:rPr>
            </w:pPr>
            <w:r w:rsidRPr="00B41A96">
              <w:rPr>
                <w:rFonts w:cs="Times New Roman"/>
              </w:rPr>
              <w:t>- атестату;</w:t>
            </w:r>
          </w:p>
          <w:p w14:paraId="4CF8B0D3" w14:textId="77777777" w:rsidR="005E4A9E" w:rsidRPr="00B41A96" w:rsidRDefault="005E4A9E" w:rsidP="005E4A9E">
            <w:pPr>
              <w:jc w:val="both"/>
              <w:rPr>
                <w:rFonts w:cs="Times New Roman"/>
              </w:rPr>
            </w:pPr>
            <w:r w:rsidRPr="00B41A96">
              <w:rPr>
                <w:rFonts w:cs="Times New Roman"/>
              </w:rPr>
              <w:t xml:space="preserve">- іншого документу, що </w:t>
            </w:r>
            <w:proofErr w:type="gramStart"/>
            <w:r w:rsidRPr="00B41A96">
              <w:rPr>
                <w:rFonts w:cs="Times New Roman"/>
              </w:rPr>
              <w:t>п</w:t>
            </w:r>
            <w:proofErr w:type="gramEnd"/>
            <w:r w:rsidRPr="00B41A96">
              <w:rPr>
                <w:rFonts w:cs="Times New Roman"/>
              </w:rPr>
              <w:t>ідтверджує виконання визначених вимог, які стосуються об’єкта оцінки відповідності.</w:t>
            </w:r>
          </w:p>
          <w:p w14:paraId="7BA4632B" w14:textId="77777777" w:rsidR="005E4A9E" w:rsidRPr="00B41A96" w:rsidRDefault="005E4A9E" w:rsidP="005E4A9E">
            <w:pPr>
              <w:jc w:val="both"/>
              <w:rPr>
                <w:rFonts w:cs="Times New Roman"/>
              </w:rPr>
            </w:pPr>
            <w:r w:rsidRPr="00B41A96">
              <w:rPr>
                <w:rFonts w:cs="Times New Roman"/>
              </w:rPr>
              <w:t xml:space="preserve">     Оцінка відповідності, зазначена </w:t>
            </w:r>
            <w:r w:rsidRPr="00520B53">
              <w:rPr>
                <w:rFonts w:cs="Times New Roman"/>
              </w:rPr>
              <w:t>в розділі 1</w:t>
            </w:r>
            <w:r w:rsidRPr="00B41A96">
              <w:rPr>
                <w:rFonts w:cs="Times New Roman"/>
              </w:rPr>
              <w:t xml:space="preserve"> (</w:t>
            </w:r>
            <w:proofErr w:type="gramStart"/>
            <w:r w:rsidRPr="00B41A96">
              <w:rPr>
                <w:rFonts w:cs="Times New Roman"/>
              </w:rPr>
              <w:t>кр</w:t>
            </w:r>
            <w:proofErr w:type="gramEnd"/>
            <w:r w:rsidRPr="00B41A96">
              <w:rPr>
                <w:rFonts w:cs="Times New Roman"/>
              </w:rPr>
              <w:t xml:space="preserve">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 </w:t>
            </w:r>
          </w:p>
          <w:p w14:paraId="6C7D64A0" w14:textId="77777777" w:rsidR="005E4A9E" w:rsidRPr="00B41A96" w:rsidRDefault="005E4A9E" w:rsidP="005E4A9E">
            <w:pPr>
              <w:jc w:val="both"/>
              <w:rPr>
                <w:rFonts w:cs="Times New Roman"/>
              </w:rPr>
            </w:pPr>
            <w:proofErr w:type="gramStart"/>
            <w:r w:rsidRPr="00D05DA4">
              <w:rPr>
                <w:rFonts w:cs="Times New Roman"/>
              </w:rPr>
              <w:t>Для випадку добровільної оцінки відповідності декларація про відповідність має бути складена відповідно до вимог ДСТУ ISO/IEC 17050-1:2006</w:t>
            </w:r>
            <w:r w:rsidRPr="00B41A96">
              <w:rPr>
                <w:rFonts w:cs="Times New Roman"/>
              </w:rPr>
              <w:t xml:space="preserve"> із посиланням на документи, складені за результатами проведеної оцінки відповідності</w:t>
            </w:r>
            <w:r w:rsidRPr="008E4A16">
              <w:rPr>
                <w:rFonts w:cs="Times New Roman"/>
              </w:rPr>
              <w:t>продукції</w:t>
            </w:r>
            <w:r w:rsidRPr="00B41A96">
              <w:rPr>
                <w:rFonts w:cs="Times New Roman"/>
              </w:rPr>
              <w:t xml:space="preserve"> органами з оцінки відповідності, акредитованими в Національному агентстві з акредитації України.</w:t>
            </w:r>
            <w:proofErr w:type="gramEnd"/>
          </w:p>
          <w:p w14:paraId="218A3FA5" w14:textId="6C106504" w:rsidR="005E4A9E" w:rsidRPr="00B41A96" w:rsidRDefault="005E4A9E" w:rsidP="005E4A9E">
            <w:pPr>
              <w:jc w:val="both"/>
              <w:rPr>
                <w:rFonts w:cs="Times New Roman"/>
              </w:rPr>
            </w:pPr>
            <w:r>
              <w:rPr>
                <w:rFonts w:cs="Times New Roman"/>
              </w:rPr>
              <w:t xml:space="preserve">     </w:t>
            </w:r>
            <w:proofErr w:type="gramStart"/>
            <w:r>
              <w:rPr>
                <w:rFonts w:cs="Times New Roman"/>
              </w:rPr>
              <w:t>1.</w:t>
            </w:r>
            <w:r>
              <w:rPr>
                <w:rFonts w:cs="Times New Roman"/>
                <w:lang w:val="uk-UA"/>
              </w:rPr>
              <w:t>2</w:t>
            </w:r>
            <w:r w:rsidRPr="00B41A96">
              <w:rPr>
                <w:rFonts w:cs="Times New Roman"/>
              </w:rPr>
              <w:t xml:space="preserve"> Документи про відповідність повинні бути чинн</w:t>
            </w:r>
            <w:r w:rsidRPr="008E4A16">
              <w:rPr>
                <w:rFonts w:cs="Times New Roman"/>
              </w:rPr>
              <w:t>ими</w:t>
            </w:r>
            <w:r w:rsidRPr="00B41A96">
              <w:rPr>
                <w:rFonts w:cs="Times New Roman"/>
              </w:rPr>
              <w:t xml:space="preserve"> за строком дії на кінцеву дату подання пропозиції учасником.</w:t>
            </w:r>
            <w:proofErr w:type="gramEnd"/>
          </w:p>
          <w:p w14:paraId="4FB8579C" w14:textId="77777777" w:rsidR="005E4A9E" w:rsidRPr="00B41A96" w:rsidRDefault="005E4A9E" w:rsidP="005E4A9E">
            <w:pPr>
              <w:jc w:val="both"/>
              <w:rPr>
                <w:rFonts w:cs="Times New Roman"/>
              </w:rPr>
            </w:pPr>
            <w:r w:rsidRPr="00B41A96">
              <w:rPr>
                <w:rFonts w:cs="Times New Roman"/>
              </w:rPr>
              <w:t xml:space="preserve">Якщо строк дії документу про відповідність продукції закінчується до кінця </w:t>
            </w:r>
            <w:r w:rsidRPr="00B41A96">
              <w:rPr>
                <w:rFonts w:cs="Times New Roman"/>
              </w:rPr>
              <w:lastRenderedPageBreak/>
              <w:t xml:space="preserve">року постачання продукції, учасник повинен надати гарантійний лист, що новий документ про відповідність буде наданий не </w:t>
            </w:r>
            <w:proofErr w:type="gramStart"/>
            <w:r w:rsidRPr="00B41A96">
              <w:rPr>
                <w:rFonts w:cs="Times New Roman"/>
              </w:rPr>
              <w:t>п</w:t>
            </w:r>
            <w:proofErr w:type="gramEnd"/>
            <w:r w:rsidRPr="00B41A96">
              <w:rPr>
                <w:rFonts w:cs="Times New Roman"/>
              </w:rPr>
              <w:t>ізніше закінчення строку дії чинного.</w:t>
            </w:r>
          </w:p>
          <w:p w14:paraId="6E05DE20" w14:textId="615DBDB3" w:rsidR="005E4A9E" w:rsidRPr="00B41A96" w:rsidRDefault="005E4A9E" w:rsidP="005E4A9E">
            <w:pPr>
              <w:jc w:val="both"/>
              <w:rPr>
                <w:rFonts w:cs="Times New Roman"/>
              </w:rPr>
            </w:pPr>
            <w:r>
              <w:rPr>
                <w:rFonts w:cs="Times New Roman"/>
              </w:rPr>
              <w:t xml:space="preserve">     1.</w:t>
            </w:r>
            <w:r>
              <w:rPr>
                <w:rFonts w:cs="Times New Roman"/>
                <w:lang w:val="uk-UA"/>
              </w:rPr>
              <w:t>3</w:t>
            </w:r>
            <w:r w:rsidRPr="00B41A96">
              <w:rPr>
                <w:rFonts w:cs="Times New Roman"/>
              </w:rPr>
              <w:t xml:space="preserve"> </w:t>
            </w:r>
            <w:r w:rsidRPr="00520B53">
              <w:rPr>
                <w:rFonts w:cs="Times New Roman"/>
              </w:rPr>
              <w:t xml:space="preserve">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sidRPr="00520B53">
              <w:rPr>
                <w:rFonts w:cs="Times New Roman"/>
              </w:rPr>
              <w:t>п</w:t>
            </w:r>
            <w:proofErr w:type="gramEnd"/>
            <w:r w:rsidRPr="00520B53">
              <w:rPr>
                <w:rFonts w:cs="Times New Roman"/>
              </w:rPr>
              <w:t>ізніше постачання першої партії продукції.</w:t>
            </w:r>
          </w:p>
          <w:p w14:paraId="56260183" w14:textId="796A5E73" w:rsidR="00342762" w:rsidRPr="005E4A9E" w:rsidRDefault="005E4A9E" w:rsidP="005E4A9E">
            <w:pPr>
              <w:keepNext/>
              <w:keepLines/>
              <w:adjustRightInd w:val="0"/>
              <w:ind w:left="15"/>
            </w:pPr>
            <w:r>
              <w:rPr>
                <w:rFonts w:cs="Times New Roman"/>
              </w:rPr>
              <w:t xml:space="preserve">     1.</w:t>
            </w:r>
            <w:r>
              <w:rPr>
                <w:rFonts w:cs="Times New Roman"/>
                <w:lang w:val="uk-UA"/>
              </w:rPr>
              <w:t>4</w:t>
            </w:r>
            <w:r w:rsidRPr="00B41A96">
              <w:rPr>
                <w:rFonts w:cs="Times New Roman"/>
              </w:rPr>
              <w:t xml:space="preserve"> </w:t>
            </w:r>
            <w:r w:rsidRPr="008E4A16">
              <w:t xml:space="preserve">Якщо оцінка відповідності продукції вимогам </w:t>
            </w:r>
            <w:proofErr w:type="gramStart"/>
            <w:r w:rsidRPr="008E4A16">
              <w:t>техн</w:t>
            </w:r>
            <w:proofErr w:type="gramEnd"/>
            <w:r w:rsidRPr="008E4A16">
              <w:t>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313243EB" w:rsidR="00342762" w:rsidRPr="006E4EF8" w:rsidRDefault="00CC3C31" w:rsidP="002C214E">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Pr>
                <w:rFonts w:ascii="Times New Roman" w:hAnsi="Times New Roman" w:cs="Times New Roman"/>
                <w:color w:val="000000"/>
              </w:rPr>
              <w:br/>
              <w:t xml:space="preserve">     </w:t>
            </w:r>
            <w:r w:rsidR="002C214E">
              <w:rPr>
                <w:rFonts w:ascii="Times New Roman" w:hAnsi="Times New Roman" w:cs="Times New Roman"/>
                <w:color w:val="000000"/>
              </w:rPr>
              <w:t>2.</w:t>
            </w:r>
            <w:r w:rsidR="002C214E">
              <w:rPr>
                <w:rFonts w:ascii="Times New Roman" w:hAnsi="Times New Roman" w:cs="Times New Roman"/>
                <w:color w:val="000000"/>
                <w:lang w:val="uk-UA"/>
              </w:rPr>
              <w:t>2</w:t>
            </w:r>
            <w:r>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w:t>
            </w:r>
            <w:r w:rsidR="002C214E">
              <w:rPr>
                <w:rFonts w:ascii="Times New Roman" w:hAnsi="Times New Roman" w:cs="Times New Roman"/>
                <w:color w:val="000000"/>
              </w:rPr>
              <w:t>укції, що постачається.</w:t>
            </w:r>
            <w:r w:rsidR="002C214E">
              <w:rPr>
                <w:rFonts w:ascii="Times New Roman" w:hAnsi="Times New Roman" w:cs="Times New Roman"/>
                <w:color w:val="000000"/>
              </w:rPr>
              <w:br/>
              <w:t xml:space="preserve">     2.</w:t>
            </w:r>
            <w:r w:rsidR="002C214E">
              <w:rPr>
                <w:rFonts w:ascii="Times New Roman" w:hAnsi="Times New Roman" w:cs="Times New Roman"/>
                <w:color w:val="000000"/>
                <w:lang w:val="uk-UA"/>
              </w:rPr>
              <w:t>3</w:t>
            </w:r>
            <w:r>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 xml:space="preserve">Надання правових документів щодо виготовлення та постачання </w:t>
            </w:r>
            <w:r w:rsidRPr="009C077B">
              <w:rPr>
                <w:rFonts w:cs="Times New Roman"/>
                <w:lang w:val="uk-UA"/>
              </w:rPr>
              <w:lastRenderedPageBreak/>
              <w:t>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A2325E0" w14:textId="77777777" w:rsidR="00CC3C31" w:rsidRDefault="00CC3C31" w:rsidP="00CC3C31">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r>
            <w:r>
              <w:rPr>
                <w:rFonts w:ascii="Times New Roman" w:hAnsi="Times New Roman" w:cs="Times New Roman"/>
                <w:color w:val="000000"/>
              </w:rPr>
              <w:lastRenderedPageBreak/>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044194AC" w14:textId="77777777" w:rsidR="002C214E" w:rsidRPr="002C4073" w:rsidRDefault="00CC3C31" w:rsidP="002C214E">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w:t>
            </w:r>
            <w:r w:rsidR="002C214E">
              <w:rPr>
                <w:rFonts w:ascii="Times New Roman" w:hAnsi="Times New Roman" w:cs="Times New Roman"/>
                <w:color w:val="000000"/>
              </w:rPr>
              <w:t xml:space="preserve">Якщо продукція не </w:t>
            </w:r>
            <w:proofErr w:type="gramStart"/>
            <w:r w:rsidR="002C214E">
              <w:rPr>
                <w:rFonts w:ascii="Times New Roman" w:hAnsi="Times New Roman" w:cs="Times New Roman"/>
                <w:color w:val="000000"/>
              </w:rPr>
              <w:t>п</w:t>
            </w:r>
            <w:proofErr w:type="gramEnd"/>
            <w:r w:rsidR="002C214E">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sidR="002C214E">
              <w:rPr>
                <w:rFonts w:ascii="Times New Roman" w:hAnsi="Times New Roman" w:cs="Times New Roman"/>
                <w:color w:val="000000"/>
              </w:rPr>
              <w:t>про</w:t>
            </w:r>
            <w:proofErr w:type="gramEnd"/>
            <w:r w:rsidR="002C214E">
              <w:rPr>
                <w:rFonts w:ascii="Times New Roman" w:hAnsi="Times New Roman" w:cs="Times New Roman"/>
                <w:color w:val="000000"/>
              </w:rPr>
              <w:t xml:space="preserve"> відповідність виробництва встановлюється </w:t>
            </w:r>
            <w:proofErr w:type="gramStart"/>
            <w:r w:rsidR="002C214E">
              <w:rPr>
                <w:rFonts w:ascii="Times New Roman" w:hAnsi="Times New Roman" w:cs="Times New Roman"/>
                <w:color w:val="000000"/>
              </w:rPr>
              <w:t>органом</w:t>
            </w:r>
            <w:proofErr w:type="gramEnd"/>
            <w:r w:rsidR="002C214E">
              <w:rPr>
                <w:rFonts w:ascii="Times New Roman" w:hAnsi="Times New Roman" w:cs="Times New Roman"/>
                <w:color w:val="000000"/>
              </w:rPr>
              <w:t xml:space="preserve"> з оцінки відповідності, який видав цей документ. </w:t>
            </w:r>
            <w:r w:rsidR="002C214E">
              <w:rPr>
                <w:rFonts w:ascii="Times New Roman" w:hAnsi="Times New Roman" w:cs="Times New Roman"/>
                <w:color w:val="000000"/>
              </w:rPr>
              <w:br/>
              <w:t xml:space="preserve">     Документ про </w:t>
            </w:r>
            <w:proofErr w:type="gramStart"/>
            <w:r w:rsidR="002C214E">
              <w:rPr>
                <w:rFonts w:ascii="Times New Roman" w:hAnsi="Times New Roman" w:cs="Times New Roman"/>
                <w:color w:val="000000"/>
              </w:rPr>
              <w:t>п</w:t>
            </w:r>
            <w:proofErr w:type="gramEnd"/>
            <w:r w:rsidR="002C214E">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sidR="002C214E">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sidR="002C214E">
              <w:rPr>
                <w:rFonts w:ascii="Times New Roman" w:hAnsi="Times New Roman" w:cs="Times New Roman"/>
                <w:color w:val="000000"/>
              </w:rPr>
              <w:t>техн</w:t>
            </w:r>
            <w:proofErr w:type="gramEnd"/>
            <w:r w:rsidR="002C214E">
              <w:rPr>
                <w:rFonts w:ascii="Times New Roman" w:hAnsi="Times New Roman" w:cs="Times New Roman"/>
                <w:color w:val="000000"/>
              </w:rPr>
              <w:t>ічним регламентам.</w:t>
            </w:r>
          </w:p>
          <w:p w14:paraId="3BFDA55D" w14:textId="11980828" w:rsidR="00DA7E4F" w:rsidRPr="00CC3C31" w:rsidRDefault="00CC3C31" w:rsidP="00CC3C31">
            <w:pPr>
              <w:jc w:val="both"/>
              <w:rPr>
                <w:rFonts w:ascii="Times New Roman" w:hAnsi="Times New Roman" w:cs="Times New Roman"/>
                <w:color w:val="000000"/>
                <w:lang w:val="uk-UA"/>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6DB357D7" w:rsidR="00342762" w:rsidRPr="009C077B" w:rsidRDefault="0093133C"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w:t>
            </w:r>
            <w:r w:rsidRPr="00B41A96">
              <w:rPr>
                <w:rFonts w:cs="Times New Roman"/>
                <w:sz w:val="20"/>
              </w:rPr>
              <w:lastRenderedPageBreak/>
              <w:t>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lastRenderedPageBreak/>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 xml:space="preserve">іплення, </w:t>
            </w:r>
            <w:r w:rsidRPr="00B41A96">
              <w:rPr>
                <w:rFonts w:cs="Times New Roman"/>
                <w:sz w:val="20"/>
              </w:rPr>
              <w:lastRenderedPageBreak/>
              <w:t>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lastRenderedPageBreak/>
              <w:t xml:space="preserve">Вид транспорту (залізничний транспорт загального призначення, або </w:t>
            </w:r>
            <w:r w:rsidRPr="00B41A96">
              <w:rPr>
                <w:rFonts w:cs="Times New Roman"/>
                <w:sz w:val="20"/>
              </w:rPr>
              <w:lastRenderedPageBreak/>
              <w:t>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lastRenderedPageBreak/>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 xml:space="preserve">ічними умовами, іншою технічною документацією, за якою виготовляється </w:t>
      </w:r>
      <w:r w:rsidRPr="00B41A96">
        <w:rPr>
          <w:rFonts w:cs="Times New Roman"/>
        </w:rPr>
        <w:lastRenderedPageBreak/>
        <w:t>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Pr="00B41A96" w:rsidRDefault="00F314B3" w:rsidP="00F314B3">
      <w:pPr>
        <w:jc w:val="center"/>
        <w:rPr>
          <w:rFonts w:cs="Times New Roman"/>
        </w:rPr>
      </w:pPr>
    </w:p>
    <w:p w14:paraId="76B06D45" w14:textId="77777777" w:rsidR="00AE7FE6" w:rsidRDefault="00AE7FE6" w:rsidP="00E063F4">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AE7FE6" w14:paraId="3DA931CE" w14:textId="77777777" w:rsidTr="00AE7FE6">
        <w:tc>
          <w:tcPr>
            <w:tcW w:w="535" w:type="dxa"/>
            <w:tcBorders>
              <w:top w:val="single" w:sz="4" w:space="0" w:color="auto"/>
              <w:left w:val="single" w:sz="4" w:space="0" w:color="auto"/>
              <w:bottom w:val="single" w:sz="4" w:space="0" w:color="auto"/>
              <w:right w:val="single" w:sz="4" w:space="0" w:color="auto"/>
            </w:tcBorders>
            <w:hideMark/>
          </w:tcPr>
          <w:p w14:paraId="695CF776" w14:textId="77777777" w:rsidR="00AE7FE6" w:rsidRDefault="00AE7FE6" w:rsidP="00976D36">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2E8E4C66" w14:textId="77777777" w:rsidR="00AE7FE6" w:rsidRDefault="00AE7FE6" w:rsidP="00976D36">
            <w:pPr>
              <w:jc w:val="center"/>
              <w:rPr>
                <w:b/>
                <w:sz w:val="18"/>
                <w:szCs w:val="18"/>
                <w:lang w:val="uk-UA" w:eastAsia="uk-UA"/>
              </w:rPr>
            </w:pPr>
            <w:r>
              <w:rPr>
                <w:b/>
                <w:sz w:val="18"/>
                <w:szCs w:val="18"/>
                <w:lang w:val="uk-UA" w:eastAsia="uk-UA"/>
              </w:rPr>
              <w:t>Найменування продукції (або еквівале</w:t>
            </w:r>
            <w:r>
              <w:rPr>
                <w:b/>
                <w:sz w:val="18"/>
                <w:szCs w:val="18"/>
                <w:lang w:val="uk-UA" w:eastAsia="uk-UA"/>
              </w:rPr>
              <w:lastRenderedPageBreak/>
              <w:t>нт)</w:t>
            </w:r>
          </w:p>
        </w:tc>
        <w:tc>
          <w:tcPr>
            <w:tcW w:w="992" w:type="dxa"/>
            <w:tcBorders>
              <w:top w:val="single" w:sz="4" w:space="0" w:color="auto"/>
              <w:left w:val="single" w:sz="4" w:space="0" w:color="auto"/>
              <w:bottom w:val="single" w:sz="4" w:space="0" w:color="auto"/>
              <w:right w:val="single" w:sz="4" w:space="0" w:color="auto"/>
            </w:tcBorders>
            <w:hideMark/>
          </w:tcPr>
          <w:p w14:paraId="2415B96D" w14:textId="77777777" w:rsidR="00AE7FE6" w:rsidRDefault="00AE7FE6" w:rsidP="00976D36">
            <w:pPr>
              <w:jc w:val="center"/>
              <w:rPr>
                <w:b/>
                <w:sz w:val="18"/>
                <w:szCs w:val="18"/>
                <w:lang w:val="uk-UA" w:eastAsia="uk-UA"/>
              </w:rPr>
            </w:pPr>
            <w:r>
              <w:rPr>
                <w:b/>
                <w:sz w:val="18"/>
                <w:szCs w:val="18"/>
                <w:lang w:val="uk-UA" w:eastAsia="uk-UA"/>
              </w:rPr>
              <w:lastRenderedPageBreak/>
              <w:t>Продукція залізничного призначе</w:t>
            </w:r>
            <w:r>
              <w:rPr>
                <w:b/>
                <w:sz w:val="18"/>
                <w:szCs w:val="18"/>
                <w:lang w:val="uk-UA" w:eastAsia="uk-UA"/>
              </w:rPr>
              <w:lastRenderedPageBreak/>
              <w:t>ння</w:t>
            </w:r>
          </w:p>
        </w:tc>
        <w:tc>
          <w:tcPr>
            <w:tcW w:w="851" w:type="dxa"/>
            <w:tcBorders>
              <w:top w:val="single" w:sz="4" w:space="0" w:color="auto"/>
              <w:left w:val="single" w:sz="4" w:space="0" w:color="auto"/>
              <w:bottom w:val="single" w:sz="4" w:space="0" w:color="auto"/>
              <w:right w:val="single" w:sz="4" w:space="0" w:color="auto"/>
            </w:tcBorders>
            <w:hideMark/>
          </w:tcPr>
          <w:p w14:paraId="7077524D" w14:textId="77777777" w:rsidR="00AE7FE6" w:rsidRDefault="00AE7FE6" w:rsidP="00976D36">
            <w:pPr>
              <w:jc w:val="center"/>
              <w:rPr>
                <w:b/>
                <w:sz w:val="18"/>
                <w:szCs w:val="18"/>
                <w:lang w:val="uk-UA" w:eastAsia="uk-UA"/>
              </w:rPr>
            </w:pPr>
            <w:r>
              <w:rPr>
                <w:b/>
                <w:sz w:val="18"/>
                <w:szCs w:val="18"/>
                <w:lang w:val="uk-UA" w:eastAsia="uk-UA"/>
              </w:rPr>
              <w:lastRenderedPageBreak/>
              <w:t>Вимоги щодо надання підтвер</w:t>
            </w:r>
            <w:r>
              <w:rPr>
                <w:b/>
                <w:sz w:val="18"/>
                <w:szCs w:val="18"/>
                <w:lang w:val="uk-UA" w:eastAsia="uk-UA"/>
              </w:rPr>
              <w:lastRenderedPageBreak/>
              <w:t>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2C9D4DA8" w14:textId="77777777" w:rsidR="00AE7FE6" w:rsidRDefault="00AE7FE6" w:rsidP="00976D36">
            <w:pPr>
              <w:jc w:val="center"/>
              <w:rPr>
                <w:b/>
                <w:sz w:val="18"/>
                <w:szCs w:val="18"/>
                <w:lang w:val="uk-UA" w:eastAsia="uk-UA"/>
              </w:rPr>
            </w:pPr>
            <w:r>
              <w:rPr>
                <w:b/>
                <w:sz w:val="18"/>
                <w:szCs w:val="18"/>
                <w:lang w:val="uk-UA" w:eastAsia="uk-UA"/>
              </w:rPr>
              <w:lastRenderedPageBreak/>
              <w:t xml:space="preserve">Вимоги щодо надання підтверджуючих документів з нанесення </w:t>
            </w:r>
            <w:r>
              <w:rPr>
                <w:b/>
                <w:sz w:val="18"/>
                <w:szCs w:val="18"/>
                <w:lang w:val="uk-UA" w:eastAsia="uk-UA"/>
              </w:rPr>
              <w:lastRenderedPageBreak/>
              <w:t>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29B8FF46" w14:textId="77777777" w:rsidR="00AE7FE6" w:rsidRDefault="00AE7FE6" w:rsidP="00976D36">
            <w:pPr>
              <w:jc w:val="center"/>
              <w:rPr>
                <w:b/>
                <w:sz w:val="18"/>
                <w:szCs w:val="18"/>
                <w:lang w:val="uk-UA" w:eastAsia="uk-UA"/>
              </w:rPr>
            </w:pPr>
            <w:r>
              <w:rPr>
                <w:b/>
                <w:sz w:val="18"/>
                <w:szCs w:val="18"/>
                <w:lang w:val="uk-UA" w:eastAsia="uk-UA"/>
              </w:rPr>
              <w:lastRenderedPageBreak/>
              <w:t xml:space="preserve">Підлягає оцінці відповідності вимогам </w:t>
            </w:r>
            <w:r>
              <w:rPr>
                <w:b/>
                <w:sz w:val="18"/>
                <w:szCs w:val="18"/>
                <w:lang w:val="uk-UA" w:eastAsia="uk-UA"/>
              </w:rPr>
              <w:lastRenderedPageBreak/>
              <w:t>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3925E0B8" w14:textId="77777777" w:rsidR="00AE7FE6" w:rsidRDefault="00AE7FE6" w:rsidP="00976D36">
            <w:pPr>
              <w:jc w:val="center"/>
              <w:rPr>
                <w:b/>
                <w:sz w:val="18"/>
                <w:szCs w:val="18"/>
                <w:lang w:val="uk-UA" w:eastAsia="uk-UA"/>
              </w:rPr>
            </w:pPr>
            <w:r>
              <w:rPr>
                <w:b/>
                <w:sz w:val="18"/>
                <w:szCs w:val="18"/>
                <w:lang w:val="uk-UA" w:eastAsia="uk-UA"/>
              </w:rPr>
              <w:lastRenderedPageBreak/>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7D2AC6D6" w14:textId="77777777" w:rsidR="00AE7FE6" w:rsidRDefault="00AE7FE6" w:rsidP="00976D36">
            <w:pPr>
              <w:jc w:val="center"/>
              <w:rPr>
                <w:b/>
                <w:sz w:val="18"/>
                <w:szCs w:val="18"/>
                <w:lang w:val="uk-UA" w:eastAsia="uk-UA"/>
              </w:rPr>
            </w:pPr>
            <w:r>
              <w:rPr>
                <w:b/>
                <w:sz w:val="18"/>
                <w:szCs w:val="18"/>
                <w:lang w:val="uk-UA" w:eastAsia="uk-UA"/>
              </w:rPr>
              <w:t xml:space="preserve">Продукція, яка підлягає оцінці відповідності вимогам </w:t>
            </w:r>
            <w:r>
              <w:rPr>
                <w:b/>
                <w:sz w:val="18"/>
                <w:szCs w:val="18"/>
                <w:lang w:val="uk-UA" w:eastAsia="uk-UA"/>
              </w:rPr>
              <w:lastRenderedPageBreak/>
              <w:t>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6D1AF155" w14:textId="77777777" w:rsidR="00AE7FE6" w:rsidRDefault="00AE7FE6" w:rsidP="00976D36">
            <w:pPr>
              <w:jc w:val="center"/>
              <w:rPr>
                <w:b/>
                <w:sz w:val="18"/>
                <w:szCs w:val="18"/>
                <w:lang w:val="uk-UA" w:eastAsia="uk-UA"/>
              </w:rPr>
            </w:pPr>
            <w:r>
              <w:rPr>
                <w:b/>
                <w:sz w:val="18"/>
                <w:szCs w:val="18"/>
                <w:lang w:val="uk-UA" w:eastAsia="uk-UA"/>
              </w:rPr>
              <w:lastRenderedPageBreak/>
              <w:t>Продукція, щодо якої виробник проводить добровільн</w:t>
            </w:r>
            <w:r>
              <w:rPr>
                <w:b/>
                <w:sz w:val="18"/>
                <w:szCs w:val="18"/>
                <w:lang w:val="uk-UA" w:eastAsia="uk-UA"/>
              </w:rPr>
              <w:lastRenderedPageBreak/>
              <w:t>у оцінку відповідності заявленим вимогам</w:t>
            </w:r>
          </w:p>
        </w:tc>
      </w:tr>
      <w:tr w:rsidR="00AE7FE6" w14:paraId="41E96E16" w14:textId="77777777" w:rsidTr="00AE7FE6">
        <w:tc>
          <w:tcPr>
            <w:tcW w:w="535" w:type="dxa"/>
            <w:tcBorders>
              <w:top w:val="single" w:sz="4" w:space="0" w:color="auto"/>
              <w:left w:val="single" w:sz="4" w:space="0" w:color="auto"/>
              <w:bottom w:val="single" w:sz="4" w:space="0" w:color="auto"/>
              <w:right w:val="single" w:sz="4" w:space="0" w:color="auto"/>
            </w:tcBorders>
            <w:hideMark/>
          </w:tcPr>
          <w:p w14:paraId="1EE88348" w14:textId="333118FC" w:rsidR="00AE7FE6" w:rsidRDefault="00AE7FE6" w:rsidP="00976D36">
            <w:pPr>
              <w:jc w:val="center"/>
              <w:rPr>
                <w:sz w:val="20"/>
                <w:szCs w:val="20"/>
                <w:lang w:val="uk-UA" w:eastAsia="uk-UA"/>
              </w:rPr>
            </w:pPr>
            <w:r>
              <w:rPr>
                <w:sz w:val="20"/>
                <w:szCs w:val="20"/>
                <w:lang w:val="uk-UA" w:eastAsia="uk-UA"/>
              </w:rPr>
              <w:lastRenderedPageBreak/>
              <w:t>1</w:t>
            </w:r>
          </w:p>
        </w:tc>
        <w:tc>
          <w:tcPr>
            <w:tcW w:w="991" w:type="dxa"/>
            <w:tcBorders>
              <w:top w:val="single" w:sz="4" w:space="0" w:color="auto"/>
              <w:left w:val="single" w:sz="4" w:space="0" w:color="auto"/>
              <w:bottom w:val="single" w:sz="4" w:space="0" w:color="auto"/>
              <w:right w:val="single" w:sz="4" w:space="0" w:color="auto"/>
            </w:tcBorders>
            <w:hideMark/>
          </w:tcPr>
          <w:p w14:paraId="590113A8" w14:textId="69A57F81" w:rsidR="00AE7FE6" w:rsidRDefault="00FF6F9B" w:rsidP="00976D36">
            <w:pPr>
              <w:rPr>
                <w:sz w:val="20"/>
                <w:szCs w:val="20"/>
                <w:lang w:val="uk-UA" w:eastAsia="uk-UA"/>
              </w:rPr>
            </w:pPr>
            <w:r w:rsidRPr="00FF6F9B">
              <w:rPr>
                <w:b/>
                <w:sz w:val="20"/>
                <w:szCs w:val="20"/>
                <w:lang w:val="uk-UA" w:eastAsia="uk-UA"/>
              </w:rPr>
              <w:t>Розчинник на основі уайт - спіриту</w:t>
            </w:r>
          </w:p>
        </w:tc>
        <w:tc>
          <w:tcPr>
            <w:tcW w:w="992" w:type="dxa"/>
            <w:tcBorders>
              <w:top w:val="single" w:sz="4" w:space="0" w:color="auto"/>
              <w:left w:val="single" w:sz="4" w:space="0" w:color="auto"/>
              <w:bottom w:val="single" w:sz="4" w:space="0" w:color="auto"/>
              <w:right w:val="single" w:sz="4" w:space="0" w:color="auto"/>
            </w:tcBorders>
            <w:hideMark/>
          </w:tcPr>
          <w:p w14:paraId="195BFE35" w14:textId="53E893E4" w:rsidR="00AE7FE6" w:rsidRDefault="00F05BBC" w:rsidP="00976D36">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7933F97D" w14:textId="388AF594" w:rsidR="00AE7FE6" w:rsidRDefault="00F05BBC" w:rsidP="00976D36">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59F72021" w14:textId="70AC566F" w:rsidR="00AE7FE6" w:rsidRDefault="00F05BBC"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898653B" w14:textId="77777777" w:rsidR="00AE7FE6" w:rsidRDefault="00AE7FE6"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9708112" w14:textId="77777777" w:rsidR="00AE7FE6" w:rsidRDefault="00AE7FE6" w:rsidP="00976D36">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3C145419" w14:textId="37E98AC7" w:rsidR="00AE7FE6" w:rsidRDefault="00F05BBC"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2EB24A3" w14:textId="12C4C948" w:rsidR="00AE7FE6" w:rsidRDefault="00F05BBC" w:rsidP="00976D36">
            <w:pPr>
              <w:jc w:val="center"/>
              <w:rPr>
                <w:sz w:val="20"/>
                <w:szCs w:val="20"/>
                <w:lang w:val="uk-UA" w:eastAsia="uk-UA"/>
              </w:rPr>
            </w:pPr>
            <w:r>
              <w:rPr>
                <w:sz w:val="20"/>
                <w:szCs w:val="20"/>
                <w:lang w:val="uk-UA" w:eastAsia="uk-UA"/>
              </w:rPr>
              <w:t>+</w:t>
            </w:r>
          </w:p>
        </w:tc>
      </w:tr>
    </w:tbl>
    <w:p w14:paraId="6F1E81BD" w14:textId="0A3D7762" w:rsidR="00533E82" w:rsidRPr="009C077B" w:rsidRDefault="00342762" w:rsidP="00674DB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r w:rsidR="00674DB4">
        <w:rPr>
          <w:rFonts w:ascii="Times New Roman" w:hAnsi="Times New Roman" w:cs="Times New Roman"/>
          <w:sz w:val="28"/>
          <w:szCs w:val="28"/>
          <w:lang w:val="uk-UA" w:eastAsia="uk-UA"/>
        </w:rPr>
        <w:lastRenderedPageBreak/>
        <w:t xml:space="preserve">                                                                                                                     </w:t>
      </w:r>
      <w:r w:rsidR="00533E82"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674DB4">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02271A53" w:rsidR="003B6582" w:rsidRPr="009C077B" w:rsidRDefault="00B962E2" w:rsidP="0054427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54427D">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035006"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1D50B926" w14:textId="77777777" w:rsidR="00607DB5" w:rsidRPr="00607DB5" w:rsidRDefault="00607DB5" w:rsidP="00607DB5">
      <w:pPr>
        <w:ind w:left="125" w:right="125" w:firstLine="567"/>
        <w:jc w:val="both"/>
        <w:rPr>
          <w:lang w:val="uk-UA"/>
        </w:rPr>
      </w:pPr>
      <w:r w:rsidRPr="00607DB5">
        <w:rPr>
          <w:lang w:val="uk-UA"/>
        </w:rPr>
        <w:lastRenderedPageBreak/>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t>ID</w:t>
      </w:r>
      <w:r w:rsidRPr="00607DB5">
        <w:rPr>
          <w:lang w:val="uk-UA"/>
        </w:rPr>
        <w:t xml:space="preserve"> товару, який присвоєно електронною системою закупівель. </w:t>
      </w:r>
    </w:p>
    <w:p w14:paraId="3CDB9BA1" w14:textId="77777777" w:rsidR="00607DB5" w:rsidRPr="00607DB5" w:rsidRDefault="00607DB5" w:rsidP="00607DB5">
      <w:pPr>
        <w:ind w:left="125" w:right="125" w:firstLine="567"/>
        <w:jc w:val="both"/>
        <w:rPr>
          <w:lang w:val="uk-UA"/>
        </w:rPr>
      </w:pPr>
      <w:r w:rsidRPr="00607DB5">
        <w:rPr>
          <w:lang w:val="uk-UA"/>
        </w:rPr>
        <w:t xml:space="preserve">- копію сертифіката відповідності системи управління якістю у виробництві вимогам ДСТУ </w:t>
      </w:r>
      <w:r>
        <w:t>ISO</w:t>
      </w:r>
      <w:r w:rsidRPr="00607DB5">
        <w:rPr>
          <w:lang w:val="uk-UA"/>
        </w:rPr>
        <w:t xml:space="preserve"> 9001:2015 або ДСТУ </w:t>
      </w:r>
      <w:r>
        <w:t>EN</w:t>
      </w:r>
      <w:r w:rsidRPr="00607DB5">
        <w:rPr>
          <w:lang w:val="uk-UA"/>
        </w:rPr>
        <w:t xml:space="preserve"> </w:t>
      </w:r>
      <w:r>
        <w:t>ISO</w:t>
      </w:r>
      <w:r w:rsidRPr="00607DB5">
        <w:rPr>
          <w:lang w:val="uk-UA"/>
        </w:rPr>
        <w:t xml:space="preserve"> 9001:2018 (</w:t>
      </w:r>
      <w:r>
        <w:t>EN</w:t>
      </w:r>
      <w:r w:rsidRPr="00607DB5">
        <w:rPr>
          <w:lang w:val="uk-UA"/>
        </w:rPr>
        <w:t xml:space="preserve"> </w:t>
      </w:r>
      <w:r>
        <w:t>ISO</w:t>
      </w:r>
      <w:r w:rsidRPr="00607DB5">
        <w:rPr>
          <w:lang w:val="uk-UA"/>
        </w:rPr>
        <w:t xml:space="preserve"> 9001:2015, </w:t>
      </w:r>
      <w:r>
        <w:t>IDT</w:t>
      </w:r>
      <w:r w:rsidRPr="00607DB5">
        <w:rPr>
          <w:lang w:val="uk-UA"/>
        </w:rPr>
        <w:t xml:space="preserve">; </w:t>
      </w:r>
      <w:r>
        <w:t>ISO</w:t>
      </w:r>
      <w:r w:rsidRPr="00607DB5">
        <w:rPr>
          <w:lang w:val="uk-UA"/>
        </w:rPr>
        <w:t xml:space="preserve"> 9001:2015, </w:t>
      </w:r>
      <w:r>
        <w:t>IDT</w:t>
      </w:r>
      <w:r w:rsidRPr="00607DB5">
        <w:rPr>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4FEE4B80" w14:textId="77777777" w:rsidR="00607DB5" w:rsidRDefault="00607DB5" w:rsidP="00607DB5">
      <w:pPr>
        <w:ind w:left="125" w:right="125" w:firstLine="567"/>
        <w:jc w:val="both"/>
      </w:pPr>
      <w:r w:rsidRPr="00607DB5">
        <w:rPr>
          <w:lang w:val="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t>WMI</w:t>
      </w:r>
      <w:r w:rsidRPr="00607DB5">
        <w:rPr>
          <w:lang w:val="uk-UA"/>
        </w:rPr>
        <w:t>), що входить в структуру ідентифікаційного номера колісного транспортного засобу (</w:t>
      </w:r>
      <w:r>
        <w:t>VIN</w:t>
      </w:r>
      <w:r w:rsidRPr="00607DB5">
        <w:rPr>
          <w:lang w:val="uk-UA"/>
        </w:rPr>
        <w:t xml:space="preserve">), виданого національною організацією </w:t>
      </w:r>
      <w:r>
        <w:t xml:space="preserve">України, уповноваженою на ведення реєстрації та присвоєння міжнародного ідентифікаційного коду виробника (WMI).* </w:t>
      </w:r>
    </w:p>
    <w:p w14:paraId="03D34971" w14:textId="77777777" w:rsidR="00607DB5" w:rsidRDefault="00607DB5" w:rsidP="00607DB5">
      <w:pPr>
        <w:pStyle w:val="af4"/>
        <w:spacing w:after="0" w:line="240" w:lineRule="auto"/>
        <w:ind w:left="0" w:firstLine="709"/>
        <w:jc w:val="both"/>
        <w:rPr>
          <w:rFonts w:ascii="Times New Roman CYR" w:hAnsi="Times New Roman CYR" w:cs="Times New Roman CYR"/>
          <w:i/>
          <w:sz w:val="24"/>
          <w:szCs w:val="24"/>
        </w:rPr>
      </w:pPr>
      <w:r>
        <w:rPr>
          <w:rFonts w:ascii="Times New Roman CYR" w:hAnsi="Times New Roman CYR" w:cs="Times New Roman CYR"/>
          <w:i/>
          <w:sz w:val="24"/>
          <w:szCs w:val="24"/>
        </w:rPr>
        <w:t>*абзац застосовується у випадку закупі</w:t>
      </w:r>
      <w:proofErr w:type="gramStart"/>
      <w:r>
        <w:rPr>
          <w:rFonts w:ascii="Times New Roman CYR" w:hAnsi="Times New Roman CYR" w:cs="Times New Roman CYR"/>
          <w:i/>
          <w:sz w:val="24"/>
          <w:szCs w:val="24"/>
        </w:rPr>
        <w:t>вл</w:t>
      </w:r>
      <w:proofErr w:type="gramEnd"/>
      <w:r>
        <w:rPr>
          <w:rFonts w:ascii="Times New Roman CYR" w:hAnsi="Times New Roman CYR" w:cs="Times New Roman CYR"/>
          <w:i/>
          <w:sz w:val="24"/>
          <w:szCs w:val="24"/>
        </w:rPr>
        <w:t>і колісних транспортних засобів.</w:t>
      </w:r>
    </w:p>
    <w:p w14:paraId="5BB522A8" w14:textId="77777777" w:rsidR="00607DB5" w:rsidRDefault="00607DB5" w:rsidP="00607DB5">
      <w:pPr>
        <w:ind w:left="125" w:firstLine="567"/>
        <w:jc w:val="both"/>
        <w:rPr>
          <w:rFonts w:ascii="Times New Roman" w:hAnsi="Times New Roman" w:cs="Times New Roman"/>
        </w:rPr>
      </w:pPr>
      <w:r>
        <w:t xml:space="preserve">або </w:t>
      </w:r>
    </w:p>
    <w:p w14:paraId="403A17FD" w14:textId="36175DFA" w:rsidR="00D05652" w:rsidRPr="009C077B" w:rsidRDefault="00607DB5" w:rsidP="00607DB5">
      <w:pPr>
        <w:shd w:val="clear" w:color="auto" w:fill="FFFFFF"/>
        <w:tabs>
          <w:tab w:val="left" w:pos="426"/>
        </w:tabs>
        <w:ind w:right="127" w:firstLine="567"/>
        <w:jc w:val="both"/>
        <w:rPr>
          <w:rStyle w:val="rvts0"/>
          <w:lang w:val="uk-UA" w:eastAsia="uk-UA"/>
        </w:rPr>
      </w:pPr>
      <w:r>
        <w:t xml:space="preserve">- сертифікат про походження товару (для товару, закупівля якого підпадає під </w:t>
      </w:r>
      <w:proofErr w:type="gramStart"/>
      <w:r>
        <w:t>д</w:t>
      </w:r>
      <w:proofErr w:type="gramEnd"/>
      <w:r>
        <w:t xml:space="preserve">ію положень </w:t>
      </w:r>
      <w:hyperlink r:id="rId18" w:history="1">
        <w:r>
          <w:rPr>
            <w:rStyle w:val="a6"/>
          </w:rPr>
          <w:t>Закону України</w:t>
        </w:r>
      </w:hyperlink>
      <w: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009D6D13" w:rsidRPr="009C077B">
        <w:rPr>
          <w:rStyle w:val="rvts0"/>
          <w:lang w:val="uk-UA" w:eastAsia="uk-UA"/>
        </w:rPr>
        <w:t>.</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73940CCE"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07DB5">
        <w:rPr>
          <w:rStyle w:val="rvts0"/>
          <w:lang w:val="uk-UA" w:eastAsia="uk-UA"/>
        </w:rPr>
        <w:t xml:space="preserve">/ </w:t>
      </w:r>
      <w:r w:rsidR="00607DB5" w:rsidRPr="00607DB5">
        <w:rPr>
          <w:color w:val="00000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2610777E"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осійської Федерації / Республіки Білорусь</w:t>
      </w:r>
      <w:r w:rsidR="00607DB5">
        <w:rPr>
          <w:color w:val="000000"/>
          <w:lang w:val="uk-UA"/>
        </w:rPr>
        <w:t>/</w:t>
      </w:r>
      <w:r w:rsidR="00607DB5" w:rsidRPr="00607DB5">
        <w:rPr>
          <w:color w:val="000000"/>
          <w:lang w:eastAsia="uk-UA"/>
        </w:rPr>
        <w:t xml:space="preserve"> </w:t>
      </w:r>
      <w:r w:rsidR="00607DB5">
        <w:rPr>
          <w:color w:val="000000"/>
          <w:lang w:eastAsia="uk-UA"/>
        </w:rPr>
        <w:t xml:space="preserve">Ісламської </w:t>
      </w:r>
      <w:r w:rsidR="00607DB5">
        <w:rPr>
          <w:color w:val="000000"/>
          <w:lang w:eastAsia="uk-UA"/>
        </w:rPr>
        <w:lastRenderedPageBreak/>
        <w:t>Республіки Іран</w:t>
      </w:r>
      <w:r w:rsidRPr="00E063F4">
        <w:rPr>
          <w:color w:val="000000"/>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61469132" w:rsidR="003B6582" w:rsidRPr="009C077B" w:rsidRDefault="00433307" w:rsidP="005E4A9E">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5E4A9E">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lastRenderedPageBreak/>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60C4D2F2" w14:textId="1BECDBB3" w:rsidR="00607DB5" w:rsidRPr="00607DB5" w:rsidRDefault="00607DB5" w:rsidP="00607DB5">
      <w:pPr>
        <w:ind w:firstLine="494"/>
        <w:jc w:val="both"/>
        <w:rPr>
          <w:color w:val="000000"/>
          <w:sz w:val="27"/>
          <w:szCs w:val="27"/>
          <w:lang w:val="uk-UA" w:eastAsia="uk-UA"/>
        </w:rPr>
      </w:pPr>
      <w:r>
        <w:rPr>
          <w:color w:val="000000"/>
          <w:lang w:val="uk-UA" w:eastAsia="uk-UA"/>
        </w:rPr>
        <w:t>5.</w:t>
      </w:r>
      <w:r>
        <w:rPr>
          <w:color w:val="000000"/>
          <w:lang w:eastAsia="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w:t>
      </w:r>
      <w:r w:rsidR="0054427D">
        <w:rPr>
          <w:color w:val="000000"/>
          <w:lang w:eastAsia="uk-UA"/>
        </w:rPr>
        <w:t>яльності передбачено законом</w:t>
      </w:r>
      <w:r>
        <w:rPr>
          <w:color w:val="000000"/>
          <w:lang w:eastAsia="uk-UA"/>
        </w:rPr>
        <w:t>.</w:t>
      </w:r>
    </w:p>
    <w:p w14:paraId="5717D368" w14:textId="3E6301D2" w:rsidR="00083046" w:rsidRPr="009C077B" w:rsidRDefault="00607DB5" w:rsidP="00EB6C4A">
      <w:pPr>
        <w:ind w:firstLine="494"/>
        <w:jc w:val="both"/>
        <w:rPr>
          <w:lang w:val="uk-UA" w:eastAsia="uk-UA"/>
        </w:rPr>
      </w:pPr>
      <w:r>
        <w:rPr>
          <w:lang w:val="uk-UA" w:eastAsia="uk-UA"/>
        </w:rPr>
        <w:t>6</w:t>
      </w:r>
      <w:r w:rsidR="00083046">
        <w:rPr>
          <w:lang w:val="uk-UA" w:eastAsia="uk-UA"/>
        </w:rPr>
        <w:t xml:space="preserve">. </w:t>
      </w:r>
      <w:r w:rsidR="00083046"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00083046"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32828949"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FA7511">
        <w:rPr>
          <w:lang w:val="uk-UA"/>
        </w:rPr>
        <w:t>витягу з Державного реєстру банків банку-гаранта</w:t>
      </w:r>
      <w:r w:rsidRPr="009C077B">
        <w:rPr>
          <w:lang w:val="uk-UA"/>
        </w:rPr>
        <w:t>,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58543" w14:textId="77777777" w:rsidR="00517DA7" w:rsidRDefault="00517DA7">
      <w:r>
        <w:separator/>
      </w:r>
    </w:p>
  </w:endnote>
  <w:endnote w:type="continuationSeparator" w:id="0">
    <w:p w14:paraId="0824A456" w14:textId="77777777" w:rsidR="00517DA7" w:rsidRDefault="00517DA7">
      <w:r>
        <w:continuationSeparator/>
      </w:r>
    </w:p>
  </w:endnote>
  <w:endnote w:type="continuationNotice" w:id="1">
    <w:p w14:paraId="0D03E3DA" w14:textId="77777777" w:rsidR="00517DA7" w:rsidRDefault="00517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7C266B" w:rsidRDefault="007C266B"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7C266B" w:rsidRDefault="007C266B"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7C266B" w:rsidRPr="00BF5108" w:rsidRDefault="007C266B"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923B2" w14:textId="77777777" w:rsidR="00517DA7" w:rsidRDefault="00517DA7">
      <w:r>
        <w:separator/>
      </w:r>
    </w:p>
  </w:footnote>
  <w:footnote w:type="continuationSeparator" w:id="0">
    <w:p w14:paraId="19B138AA" w14:textId="77777777" w:rsidR="00517DA7" w:rsidRDefault="00517DA7">
      <w:r>
        <w:continuationSeparator/>
      </w:r>
    </w:p>
  </w:footnote>
  <w:footnote w:type="continuationNotice" w:id="1">
    <w:p w14:paraId="6DF996A3" w14:textId="77777777" w:rsidR="00517DA7" w:rsidRDefault="00517D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7C266B" w:rsidRDefault="007C266B">
        <w:pPr>
          <w:pStyle w:val="aff2"/>
          <w:jc w:val="center"/>
        </w:pPr>
        <w:r>
          <w:fldChar w:fldCharType="begin"/>
        </w:r>
        <w:r>
          <w:instrText>PAGE   \* MERGEFORMAT</w:instrText>
        </w:r>
        <w:r>
          <w:fldChar w:fldCharType="separate"/>
        </w:r>
        <w:r w:rsidR="00035006">
          <w:rPr>
            <w:noProof/>
          </w:rPr>
          <w:t>36</w:t>
        </w:r>
        <w:r>
          <w:fldChar w:fldCharType="end"/>
        </w:r>
      </w:p>
    </w:sdtContent>
  </w:sdt>
  <w:p w14:paraId="23C663CF" w14:textId="77777777" w:rsidR="007C266B" w:rsidRDefault="007C266B">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7C266B" w:rsidRDefault="00517DA7">
        <w:pPr>
          <w:pStyle w:val="aff2"/>
          <w:jc w:val="center"/>
        </w:pPr>
      </w:p>
    </w:sdtContent>
  </w:sdt>
  <w:p w14:paraId="589EC606" w14:textId="77777777" w:rsidR="007C266B" w:rsidRDefault="007C266B">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9790858"/>
    <w:multiLevelType w:val="hybridMultilevel"/>
    <w:tmpl w:val="7A661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9">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1">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5">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9">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0">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2">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3">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F80514"/>
    <w:multiLevelType w:val="multilevel"/>
    <w:tmpl w:val="6FDEF20C"/>
    <w:numStyleLink w:val="10"/>
  </w:abstractNum>
  <w:abstractNum w:abstractNumId="35">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6">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7">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A113986"/>
    <w:multiLevelType w:val="hybridMultilevel"/>
    <w:tmpl w:val="79C86DEE"/>
    <w:lvl w:ilvl="0" w:tplc="BF42E84C">
      <w:start w:val="8"/>
      <w:numFmt w:val="bullet"/>
      <w:lvlText w:val="-"/>
      <w:lvlJc w:val="left"/>
      <w:pPr>
        <w:ind w:left="403" w:hanging="360"/>
      </w:pPr>
      <w:rPr>
        <w:rFonts w:ascii="Times New Roman" w:eastAsia="Calibri" w:hAnsi="Times New Roman" w:cs="Times New Roman" w:hint="default"/>
      </w:rPr>
    </w:lvl>
    <w:lvl w:ilvl="1" w:tplc="04190003">
      <w:start w:val="1"/>
      <w:numFmt w:val="bullet"/>
      <w:lvlText w:val="o"/>
      <w:lvlJc w:val="left"/>
      <w:pPr>
        <w:ind w:left="1123" w:hanging="360"/>
      </w:pPr>
      <w:rPr>
        <w:rFonts w:ascii="Courier New" w:hAnsi="Courier New" w:cs="Courier New" w:hint="default"/>
      </w:rPr>
    </w:lvl>
    <w:lvl w:ilvl="2" w:tplc="04190005">
      <w:start w:val="1"/>
      <w:numFmt w:val="bullet"/>
      <w:lvlText w:val=""/>
      <w:lvlJc w:val="left"/>
      <w:pPr>
        <w:ind w:left="1843" w:hanging="360"/>
      </w:pPr>
      <w:rPr>
        <w:rFonts w:ascii="Wingdings" w:hAnsi="Wingdings" w:hint="default"/>
      </w:rPr>
    </w:lvl>
    <w:lvl w:ilvl="3" w:tplc="04190001">
      <w:start w:val="1"/>
      <w:numFmt w:val="bullet"/>
      <w:lvlText w:val=""/>
      <w:lvlJc w:val="left"/>
      <w:pPr>
        <w:ind w:left="2563" w:hanging="360"/>
      </w:pPr>
      <w:rPr>
        <w:rFonts w:ascii="Symbol" w:hAnsi="Symbol" w:hint="default"/>
      </w:rPr>
    </w:lvl>
    <w:lvl w:ilvl="4" w:tplc="04190003">
      <w:start w:val="1"/>
      <w:numFmt w:val="bullet"/>
      <w:lvlText w:val="o"/>
      <w:lvlJc w:val="left"/>
      <w:pPr>
        <w:ind w:left="3283" w:hanging="360"/>
      </w:pPr>
      <w:rPr>
        <w:rFonts w:ascii="Courier New" w:hAnsi="Courier New" w:cs="Courier New" w:hint="default"/>
      </w:rPr>
    </w:lvl>
    <w:lvl w:ilvl="5" w:tplc="04190005">
      <w:start w:val="1"/>
      <w:numFmt w:val="bullet"/>
      <w:lvlText w:val=""/>
      <w:lvlJc w:val="left"/>
      <w:pPr>
        <w:ind w:left="4003" w:hanging="360"/>
      </w:pPr>
      <w:rPr>
        <w:rFonts w:ascii="Wingdings" w:hAnsi="Wingdings" w:hint="default"/>
      </w:rPr>
    </w:lvl>
    <w:lvl w:ilvl="6" w:tplc="04190001">
      <w:start w:val="1"/>
      <w:numFmt w:val="bullet"/>
      <w:lvlText w:val=""/>
      <w:lvlJc w:val="left"/>
      <w:pPr>
        <w:ind w:left="4723" w:hanging="360"/>
      </w:pPr>
      <w:rPr>
        <w:rFonts w:ascii="Symbol" w:hAnsi="Symbol" w:hint="default"/>
      </w:rPr>
    </w:lvl>
    <w:lvl w:ilvl="7" w:tplc="04190003">
      <w:start w:val="1"/>
      <w:numFmt w:val="bullet"/>
      <w:lvlText w:val="o"/>
      <w:lvlJc w:val="left"/>
      <w:pPr>
        <w:ind w:left="5443" w:hanging="360"/>
      </w:pPr>
      <w:rPr>
        <w:rFonts w:ascii="Courier New" w:hAnsi="Courier New" w:cs="Courier New" w:hint="default"/>
      </w:rPr>
    </w:lvl>
    <w:lvl w:ilvl="8" w:tplc="04190005">
      <w:start w:val="1"/>
      <w:numFmt w:val="bullet"/>
      <w:lvlText w:val=""/>
      <w:lvlJc w:val="left"/>
      <w:pPr>
        <w:ind w:left="6163" w:hanging="360"/>
      </w:pPr>
      <w:rPr>
        <w:rFonts w:ascii="Wingdings" w:hAnsi="Wingdings" w:hint="default"/>
      </w:rPr>
    </w:lvl>
  </w:abstractNum>
  <w:abstractNum w:abstractNumId="39">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4"/>
  </w:num>
  <w:num w:numId="3">
    <w:abstractNumId w:val="15"/>
  </w:num>
  <w:num w:numId="4">
    <w:abstractNumId w:val="7"/>
  </w:num>
  <w:num w:numId="5">
    <w:abstractNumId w:val="33"/>
  </w:num>
  <w:num w:numId="6">
    <w:abstractNumId w:val="22"/>
  </w:num>
  <w:num w:numId="7">
    <w:abstractNumId w:val="5"/>
  </w:num>
  <w:num w:numId="8">
    <w:abstractNumId w:val="23"/>
  </w:num>
  <w:num w:numId="9">
    <w:abstractNumId w:val="10"/>
  </w:num>
  <w:num w:numId="10">
    <w:abstractNumId w:val="16"/>
  </w:num>
  <w:num w:numId="11">
    <w:abstractNumId w:val="4"/>
  </w:num>
  <w:num w:numId="12">
    <w:abstractNumId w:val="36"/>
  </w:num>
  <w:num w:numId="13">
    <w:abstractNumId w:val="17"/>
  </w:num>
  <w:num w:numId="14">
    <w:abstractNumId w:val="3"/>
  </w:num>
  <w:num w:numId="15">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7"/>
  </w:num>
  <w:num w:numId="21">
    <w:abstractNumId w:val="20"/>
  </w:num>
  <w:num w:numId="22">
    <w:abstractNumId w:val="11"/>
  </w:num>
  <w:num w:numId="23">
    <w:abstractNumId w:val="28"/>
  </w:num>
  <w:num w:numId="24">
    <w:abstractNumId w:val="26"/>
  </w:num>
  <w:num w:numId="25">
    <w:abstractNumId w:val="30"/>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9"/>
  </w:num>
  <w:num w:numId="29">
    <w:abstractNumId w:val="32"/>
  </w:num>
  <w:num w:numId="30">
    <w:abstractNumId w:val="12"/>
  </w:num>
  <w:num w:numId="31">
    <w:abstractNumId w:val="2"/>
  </w:num>
  <w:num w:numId="32">
    <w:abstractNumId w:val="37"/>
  </w:num>
  <w:num w:numId="33">
    <w:abstractNumId w:val="19"/>
  </w:num>
  <w:num w:numId="3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8"/>
  </w:num>
  <w:num w:numId="37">
    <w:abstractNumId w:val="39"/>
  </w:num>
  <w:num w:numId="38">
    <w:abstractNumId w:val="31"/>
  </w:num>
  <w:num w:numId="39">
    <w:abstractNumId w:val="9"/>
  </w:num>
  <w:num w:numId="40">
    <w:abstractNumId w:val="21"/>
  </w:num>
  <w:num w:numId="41">
    <w:abstractNumId w:val="25"/>
  </w:num>
  <w:num w:numId="42">
    <w:abstractNumId w:val="18"/>
  </w:num>
  <w:num w:numId="43">
    <w:abstractNumId w:val="13"/>
  </w:num>
  <w:num w:numId="44">
    <w:abstractNumId w:val="38"/>
  </w:num>
  <w:num w:numId="4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5006"/>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7F3"/>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688"/>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4EA"/>
    <w:rsid w:val="002447F4"/>
    <w:rsid w:val="002453E6"/>
    <w:rsid w:val="00247DD6"/>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55CE"/>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14E"/>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79B"/>
    <w:rsid w:val="00337FA3"/>
    <w:rsid w:val="00342762"/>
    <w:rsid w:val="0034297C"/>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A7D78"/>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B59"/>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3118"/>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207"/>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B82"/>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4E8A"/>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17DA7"/>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27D"/>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5A0"/>
    <w:rsid w:val="005B7604"/>
    <w:rsid w:val="005B76F1"/>
    <w:rsid w:val="005B79B9"/>
    <w:rsid w:val="005B7DF9"/>
    <w:rsid w:val="005C07C7"/>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433"/>
    <w:rsid w:val="005E2683"/>
    <w:rsid w:val="005E2CDA"/>
    <w:rsid w:val="005E3191"/>
    <w:rsid w:val="005E3BE3"/>
    <w:rsid w:val="005E473B"/>
    <w:rsid w:val="005E47EE"/>
    <w:rsid w:val="005E4A9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07DB5"/>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D6A"/>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509"/>
    <w:rsid w:val="00667B35"/>
    <w:rsid w:val="00667CC5"/>
    <w:rsid w:val="00667E8E"/>
    <w:rsid w:val="00670C55"/>
    <w:rsid w:val="00670EF6"/>
    <w:rsid w:val="00670F42"/>
    <w:rsid w:val="00671129"/>
    <w:rsid w:val="00671A8F"/>
    <w:rsid w:val="006723B8"/>
    <w:rsid w:val="006734D1"/>
    <w:rsid w:val="00673A6B"/>
    <w:rsid w:val="00674157"/>
    <w:rsid w:val="0067486C"/>
    <w:rsid w:val="00674DB4"/>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5B4"/>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ADD"/>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217"/>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66B"/>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2DC"/>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239"/>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813"/>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14C"/>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6D36"/>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05AC"/>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2490"/>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1CEB"/>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012"/>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E7FE6"/>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3F23"/>
    <w:rsid w:val="00B25C07"/>
    <w:rsid w:val="00B267EB"/>
    <w:rsid w:val="00B26865"/>
    <w:rsid w:val="00B27282"/>
    <w:rsid w:val="00B31722"/>
    <w:rsid w:val="00B317E8"/>
    <w:rsid w:val="00B32736"/>
    <w:rsid w:val="00B3281B"/>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37"/>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2AA2"/>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117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3CB"/>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702"/>
    <w:rsid w:val="00CC21A4"/>
    <w:rsid w:val="00CC2B95"/>
    <w:rsid w:val="00CC3C06"/>
    <w:rsid w:val="00CC3C31"/>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57D"/>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4B56"/>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054A"/>
    <w:rsid w:val="00D21B6C"/>
    <w:rsid w:val="00D22215"/>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AF3"/>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A86"/>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498"/>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1FF5"/>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5BBC"/>
    <w:rsid w:val="00F060AC"/>
    <w:rsid w:val="00F06961"/>
    <w:rsid w:val="00F06B44"/>
    <w:rsid w:val="00F06ED9"/>
    <w:rsid w:val="00F07073"/>
    <w:rsid w:val="00F07845"/>
    <w:rsid w:val="00F11208"/>
    <w:rsid w:val="00F115D3"/>
    <w:rsid w:val="00F1169C"/>
    <w:rsid w:val="00F11F48"/>
    <w:rsid w:val="00F1264D"/>
    <w:rsid w:val="00F14153"/>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511"/>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3C1"/>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 w:val="00FF6F9B"/>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266B"/>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character" w:customStyle="1" w:styleId="WW8Num11z0">
    <w:name w:val="WW8Num11z0"/>
    <w:rsid w:val="00D2221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266B"/>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character" w:customStyle="1" w:styleId="WW8Num11z0">
    <w:name w:val="WW8Num11z0"/>
    <w:rsid w:val="00D2221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259292665">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5956461">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766462816">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189756031">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iko.r.p@swrz.com.ua" TargetMode="External"/><Relationship Id="rId2" Type="http://schemas.openxmlformats.org/officeDocument/2006/relationships/customXml" Target="../customXml/item2.xml"/><Relationship Id="rId16" Type="http://schemas.openxmlformats.org/officeDocument/2006/relationships/hyperlink" Target="mailto:boiko.r.p@swrz.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892A-C24E-4D1B-A0EB-475F56C963A9}">
  <ds:schemaRefs>
    <ds:schemaRef ds:uri="http://schemas.openxmlformats.org/officeDocument/2006/bibliography"/>
  </ds:schemaRefs>
</ds:datastoreItem>
</file>

<file path=customXml/itemProps2.xml><?xml version="1.0" encoding="utf-8"?>
<ds:datastoreItem xmlns:ds="http://schemas.openxmlformats.org/officeDocument/2006/customXml" ds:itemID="{5568F3CA-B581-4807-B500-F13CA029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36</Pages>
  <Words>12650</Words>
  <Characters>72111</Characters>
  <Application>Microsoft Office Word</Application>
  <DocSecurity>0</DocSecurity>
  <Lines>600</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84592</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69</cp:revision>
  <cp:lastPrinted>2023-07-05T08:40:00Z</cp:lastPrinted>
  <dcterms:created xsi:type="dcterms:W3CDTF">2023-06-21T11:17:00Z</dcterms:created>
  <dcterms:modified xsi:type="dcterms:W3CDTF">2024-03-26T08:50:00Z</dcterms:modified>
</cp:coreProperties>
</file>