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735A44">
              <w:rPr>
                <w:rFonts w:ascii="Times New Roman" w:eastAsia="Times New Roman" w:hAnsi="Times New Roman" w:cs="Times New Roman"/>
                <w:b/>
                <w:sz w:val="24"/>
                <w:szCs w:val="24"/>
                <w:lang w:val="uk-UA" w:eastAsia="zh-CN"/>
              </w:rPr>
              <w:t>уповноваженої особи</w:t>
            </w:r>
          </w:p>
          <w:p w14:paraId="45723A8F" w14:textId="426E2264"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735A44">
              <w:rPr>
                <w:rFonts w:ascii="Times New Roman" w:eastAsia="Times New Roman" w:hAnsi="Times New Roman" w:cs="Times New Roman"/>
                <w:b/>
                <w:sz w:val="24"/>
                <w:szCs w:val="24"/>
                <w:lang w:val="uk-UA" w:eastAsia="zh-CN"/>
              </w:rPr>
              <w:t xml:space="preserve">Протокол </w:t>
            </w:r>
            <w:r w:rsidRPr="00735A44">
              <w:rPr>
                <w:rFonts w:ascii="Times New Roman" w:eastAsia="Times New Roman" w:hAnsi="Times New Roman" w:cs="Times New Roman"/>
                <w:b/>
                <w:color w:val="000000" w:themeColor="text1"/>
                <w:sz w:val="24"/>
                <w:szCs w:val="24"/>
                <w:lang w:val="uk-UA" w:eastAsia="zh-CN"/>
              </w:rPr>
              <w:t>від</w:t>
            </w:r>
            <w:r w:rsidR="007C23F3" w:rsidRPr="00735A44">
              <w:rPr>
                <w:rFonts w:ascii="Times New Roman" w:eastAsia="Times New Roman" w:hAnsi="Times New Roman" w:cs="Times New Roman"/>
                <w:b/>
                <w:color w:val="000000" w:themeColor="text1"/>
                <w:sz w:val="24"/>
                <w:szCs w:val="24"/>
                <w:lang w:val="uk-UA" w:eastAsia="zh-CN"/>
              </w:rPr>
              <w:t xml:space="preserve"> </w:t>
            </w:r>
            <w:r w:rsidR="008F6E8E" w:rsidRPr="000D28C3">
              <w:rPr>
                <w:rFonts w:ascii="Times New Roman" w:eastAsia="Times New Roman" w:hAnsi="Times New Roman" w:cs="Times New Roman"/>
                <w:b/>
                <w:color w:val="000000" w:themeColor="text1"/>
                <w:sz w:val="24"/>
                <w:szCs w:val="24"/>
                <w:lang w:val="uk-UA" w:eastAsia="zh-CN"/>
              </w:rPr>
              <w:t>1</w:t>
            </w:r>
            <w:r w:rsidR="00DC7612">
              <w:rPr>
                <w:rFonts w:ascii="Times New Roman" w:eastAsia="Times New Roman" w:hAnsi="Times New Roman" w:cs="Times New Roman"/>
                <w:b/>
                <w:color w:val="000000" w:themeColor="text1"/>
                <w:sz w:val="24"/>
                <w:szCs w:val="24"/>
                <w:lang w:val="uk-UA" w:eastAsia="zh-CN"/>
              </w:rPr>
              <w:t>9</w:t>
            </w:r>
            <w:r w:rsidR="00F42847" w:rsidRPr="000D28C3">
              <w:rPr>
                <w:rFonts w:ascii="Times New Roman" w:eastAsia="Times New Roman" w:hAnsi="Times New Roman" w:cs="Times New Roman"/>
                <w:b/>
                <w:color w:val="000000" w:themeColor="text1"/>
                <w:sz w:val="24"/>
                <w:szCs w:val="24"/>
                <w:lang w:val="uk-UA" w:eastAsia="zh-CN"/>
              </w:rPr>
              <w:t>.</w:t>
            </w:r>
            <w:r w:rsidR="00B118C2" w:rsidRPr="000D28C3">
              <w:rPr>
                <w:rFonts w:ascii="Times New Roman" w:eastAsia="Times New Roman" w:hAnsi="Times New Roman" w:cs="Times New Roman"/>
                <w:b/>
                <w:color w:val="000000" w:themeColor="text1"/>
                <w:sz w:val="24"/>
                <w:szCs w:val="24"/>
                <w:lang w:val="uk-UA" w:eastAsia="zh-CN"/>
              </w:rPr>
              <w:t>1</w:t>
            </w:r>
            <w:r w:rsidR="009152B3" w:rsidRPr="000D28C3">
              <w:rPr>
                <w:rFonts w:ascii="Times New Roman" w:eastAsia="Times New Roman" w:hAnsi="Times New Roman" w:cs="Times New Roman"/>
                <w:b/>
                <w:color w:val="000000" w:themeColor="text1"/>
                <w:sz w:val="24"/>
                <w:szCs w:val="24"/>
                <w:lang w:eastAsia="zh-CN"/>
              </w:rPr>
              <w:t>2</w:t>
            </w:r>
            <w:r w:rsidR="00291894" w:rsidRPr="000D28C3">
              <w:rPr>
                <w:rFonts w:ascii="Times New Roman" w:eastAsia="Times New Roman" w:hAnsi="Times New Roman" w:cs="Times New Roman"/>
                <w:b/>
                <w:color w:val="000000" w:themeColor="text1"/>
                <w:sz w:val="24"/>
                <w:szCs w:val="24"/>
                <w:lang w:val="uk-UA" w:eastAsia="zh-CN"/>
              </w:rPr>
              <w:t>.</w:t>
            </w:r>
            <w:r w:rsidR="00CC4C3D" w:rsidRPr="000D28C3">
              <w:rPr>
                <w:rFonts w:ascii="Times New Roman" w:eastAsia="Times New Roman" w:hAnsi="Times New Roman" w:cs="Times New Roman"/>
                <w:b/>
                <w:color w:val="000000" w:themeColor="text1"/>
                <w:sz w:val="24"/>
                <w:szCs w:val="24"/>
                <w:lang w:val="uk-UA" w:eastAsia="zh-CN"/>
              </w:rPr>
              <w:t>202</w:t>
            </w:r>
            <w:r w:rsidR="007A670C" w:rsidRPr="000D28C3">
              <w:rPr>
                <w:rFonts w:ascii="Times New Roman" w:eastAsia="Times New Roman" w:hAnsi="Times New Roman" w:cs="Times New Roman"/>
                <w:b/>
                <w:color w:val="000000" w:themeColor="text1"/>
                <w:sz w:val="24"/>
                <w:szCs w:val="24"/>
                <w:lang w:val="uk-UA" w:eastAsia="zh-CN"/>
              </w:rPr>
              <w:t>3</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Pr="00735A44"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77DF20A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1B1CA49" w14:textId="50D700A3" w:rsidR="006F1366" w:rsidRPr="006F1366" w:rsidRDefault="00AB172E" w:rsidP="00AB172E">
      <w:pPr>
        <w:spacing w:after="240" w:line="240" w:lineRule="auto"/>
        <w:jc w:val="center"/>
        <w:rPr>
          <w:rFonts w:ascii="Times New Roman" w:eastAsia="Times New Roman" w:hAnsi="Times New Roman" w:cs="Times New Roman"/>
          <w:b/>
          <w:bCs/>
          <w:color w:val="000000" w:themeColor="text1"/>
          <w:sz w:val="24"/>
          <w:szCs w:val="24"/>
          <w:lang w:val="uk-UA"/>
        </w:rPr>
      </w:pPr>
      <w:r w:rsidRPr="00AB172E">
        <w:rPr>
          <w:rFonts w:ascii="Times New Roman" w:eastAsia="Times New Roman" w:hAnsi="Times New Roman" w:cs="Times New Roman"/>
          <w:b/>
          <w:bCs/>
          <w:color w:val="000000" w:themeColor="text1"/>
          <w:sz w:val="24"/>
          <w:szCs w:val="24"/>
          <w:lang w:val="uk-UA"/>
        </w:rPr>
        <w:t>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w:t>
      </w:r>
      <w:r>
        <w:rPr>
          <w:rFonts w:ascii="Times New Roman" w:eastAsia="Times New Roman" w:hAnsi="Times New Roman" w:cs="Times New Roman"/>
          <w:b/>
          <w:bCs/>
          <w:color w:val="000000" w:themeColor="text1"/>
          <w:sz w:val="24"/>
          <w:szCs w:val="24"/>
          <w:lang w:val="uk-UA"/>
        </w:rPr>
        <w:t xml:space="preserve"> </w:t>
      </w:r>
      <w:r w:rsidR="00A91B30" w:rsidRPr="00A91B30">
        <w:rPr>
          <w:rFonts w:ascii="Times New Roman" w:eastAsia="Times New Roman" w:hAnsi="Times New Roman" w:cs="Times New Roman"/>
          <w:b/>
          <w:bCs/>
          <w:color w:val="000000" w:themeColor="text1"/>
          <w:sz w:val="24"/>
          <w:szCs w:val="24"/>
          <w:lang w:val="uk-UA"/>
        </w:rPr>
        <w:t>М-30 Стрий - Умань - Дніпро - Ізварине (через мм. Вінницю, Кропивницький)) на ділянці км 88+024 у Тернопільській області</w:t>
      </w:r>
      <w:r w:rsidRPr="00AB172E">
        <w:rPr>
          <w:rFonts w:ascii="Times New Roman" w:eastAsia="Times New Roman" w:hAnsi="Times New Roman" w:cs="Times New Roman"/>
          <w:b/>
          <w:bCs/>
          <w:color w:val="000000" w:themeColor="text1"/>
          <w:sz w:val="24"/>
          <w:szCs w:val="24"/>
          <w:lang w:val="uk-UA"/>
        </w:rPr>
        <w:t xml:space="preserve">) </w:t>
      </w:r>
      <w:r w:rsidR="006F1366" w:rsidRPr="006F1366">
        <w:rPr>
          <w:rFonts w:ascii="Times New Roman" w:eastAsia="Times New Roman" w:hAnsi="Times New Roman" w:cs="Times New Roman"/>
          <w:b/>
          <w:bCs/>
          <w:color w:val="000000" w:themeColor="text1"/>
          <w:sz w:val="24"/>
          <w:szCs w:val="24"/>
          <w:lang w:val="uk-UA"/>
        </w:rPr>
        <w:t>(ДК 021:2015: 79710000-4 – Охоронні послуги)</w:t>
      </w:r>
    </w:p>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Pr="00735A44" w:rsidRDefault="00C74134"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33D6D130" w14:textId="77777777" w:rsidR="006F1366" w:rsidRDefault="006F1366" w:rsidP="00C20CD1">
      <w:pPr>
        <w:spacing w:after="240" w:line="240" w:lineRule="auto"/>
        <w:rPr>
          <w:rFonts w:ascii="Times New Roman" w:eastAsia="Times New Roman" w:hAnsi="Times New Roman" w:cs="Times New Roman"/>
          <w:sz w:val="24"/>
          <w:szCs w:val="24"/>
          <w:lang w:val="uk-UA"/>
        </w:rPr>
      </w:pPr>
    </w:p>
    <w:p w14:paraId="50D6E22D"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1628638B" w14:textId="77777777" w:rsidR="008F6E8E" w:rsidRDefault="008F6E8E"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23AAD0C7" w:rsidR="00B357DB" w:rsidRPr="00735A44"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ru-RU"/>
        </w:rPr>
      </w:pPr>
      <w:r w:rsidRPr="00735A44">
        <w:rPr>
          <w:rFonts w:ascii="Times New Roman" w:eastAsia="Times New Roman" w:hAnsi="Times New Roman" w:cs="Times New Roman"/>
          <w:b/>
          <w:bCs/>
          <w:color w:val="000000"/>
          <w:sz w:val="24"/>
          <w:szCs w:val="24"/>
          <w:lang w:val="ru-RU"/>
        </w:rPr>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7A670C" w:rsidRPr="00735A44">
        <w:rPr>
          <w:rFonts w:ascii="Times New Roman" w:eastAsia="Times New Roman" w:hAnsi="Times New Roman" w:cs="Times New Roman"/>
          <w:b/>
          <w:bCs/>
          <w:color w:val="000000" w:themeColor="text1"/>
          <w:sz w:val="24"/>
          <w:szCs w:val="24"/>
          <w:lang w:val="ru-RU"/>
        </w:rPr>
        <w:t>3</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lastRenderedPageBreak/>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7400B" w14:textId="14E67399" w:rsidR="00486BCB" w:rsidRPr="00890764" w:rsidRDefault="00AB172E" w:rsidP="00AB172E">
            <w:pPr>
              <w:spacing w:after="0" w:line="240" w:lineRule="auto"/>
              <w:jc w:val="both"/>
              <w:rPr>
                <w:rFonts w:ascii="Times New Roman" w:eastAsia="Times New Roman" w:hAnsi="Times New Roman" w:cs="Times New Roman"/>
                <w:b/>
                <w:bCs/>
                <w:color w:val="000000" w:themeColor="text1"/>
                <w:sz w:val="24"/>
                <w:szCs w:val="24"/>
                <w:lang w:val="uk-UA"/>
              </w:rPr>
            </w:pPr>
            <w:r w:rsidRPr="00AB172E">
              <w:rPr>
                <w:rFonts w:ascii="Times New Roman" w:eastAsia="Times New Roman" w:hAnsi="Times New Roman" w:cs="Times New Roman"/>
                <w:b/>
                <w:bCs/>
                <w:color w:val="000000" w:themeColor="text1"/>
                <w:sz w:val="24"/>
                <w:szCs w:val="24"/>
                <w:lang w:val="uk-UA"/>
              </w:rPr>
              <w:t>Експлуатаційне утримання автомобільних доріг загального користування державного значення (організаційні та інженерно-технічні заходи, спрямовані на забезпечення цілісності та схоронності майданчика зважування в русі на автомобільній дорозі державного значення</w:t>
            </w:r>
            <w:r>
              <w:rPr>
                <w:rFonts w:ascii="Times New Roman" w:eastAsia="Times New Roman" w:hAnsi="Times New Roman" w:cs="Times New Roman"/>
                <w:b/>
                <w:bCs/>
                <w:color w:val="000000" w:themeColor="text1"/>
                <w:sz w:val="24"/>
                <w:szCs w:val="24"/>
                <w:lang w:val="uk-UA"/>
              </w:rPr>
              <w:t xml:space="preserve"> </w:t>
            </w:r>
            <w:r w:rsidR="00A91B30" w:rsidRPr="00A91B30">
              <w:rPr>
                <w:rFonts w:ascii="Times New Roman" w:eastAsia="Times New Roman" w:hAnsi="Times New Roman" w:cs="Times New Roman"/>
                <w:b/>
                <w:bCs/>
                <w:color w:val="000000" w:themeColor="text1"/>
                <w:sz w:val="24"/>
                <w:szCs w:val="24"/>
                <w:lang w:val="uk-UA"/>
              </w:rPr>
              <w:t>М-30 Стрий - Умань - Дніпро - Ізварине (через мм. Вінницю, Кропивницький)) на ділянці км 88+024 у Тернопільській області</w:t>
            </w:r>
            <w:r w:rsidRPr="00AB172E">
              <w:rPr>
                <w:rFonts w:ascii="Times New Roman" w:eastAsia="Times New Roman" w:hAnsi="Times New Roman" w:cs="Times New Roman"/>
                <w:b/>
                <w:bCs/>
                <w:color w:val="000000" w:themeColor="text1"/>
                <w:sz w:val="24"/>
                <w:szCs w:val="24"/>
                <w:lang w:val="uk-UA"/>
              </w:rPr>
              <w:t>)</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21A28486"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r w:rsidR="004B5058" w:rsidRPr="004B5058">
              <w:rPr>
                <w:rFonts w:ascii="Times New Roman" w:eastAsia="Calibri" w:hAnsi="Times New Roman" w:cs="Times New Roman"/>
                <w:b/>
                <w:bCs/>
                <w:color w:val="000000" w:themeColor="text1"/>
                <w:sz w:val="24"/>
                <w:szCs w:val="24"/>
                <w:lang w:val="uk-UA" w:eastAsia="zh-CN"/>
              </w:rPr>
              <w:t xml:space="preserve">майданчик зважування в русі на автомобільній дорозі державного значення  </w:t>
            </w:r>
            <w:r w:rsidR="00A91B30" w:rsidRPr="00A91B30">
              <w:rPr>
                <w:rFonts w:ascii="Times New Roman" w:eastAsia="Calibri" w:hAnsi="Times New Roman" w:cs="Times New Roman"/>
                <w:b/>
                <w:bCs/>
                <w:color w:val="000000" w:themeColor="text1"/>
                <w:sz w:val="24"/>
                <w:szCs w:val="24"/>
                <w:lang w:val="uk-UA" w:eastAsia="zh-CN"/>
              </w:rPr>
              <w:t>М-30 Стрий - Умань - Дніпро - Ізварине (через мм. Вінницю, Кропивницький)) на ділянці км 88+024 у Тернопільській області</w:t>
            </w:r>
            <w:r w:rsidR="00DF3B7E" w:rsidRPr="00735A44">
              <w:rPr>
                <w:rFonts w:ascii="Times New Roman" w:eastAsia="Calibri" w:hAnsi="Times New Roman" w:cs="Times New Roman"/>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(Додаток</w:t>
            </w:r>
            <w:r w:rsidR="00DF3B7E" w:rsidRPr="00735A44">
              <w:rPr>
                <w:rFonts w:ascii="Times New Roman" w:eastAsia="Calibri" w:hAnsi="Times New Roman" w:cs="Times New Roman"/>
                <w:color w:val="000000" w:themeColor="text1"/>
                <w:sz w:val="24"/>
                <w:szCs w:val="24"/>
                <w:lang w:val="ru-RU" w:eastAsia="zh-CN"/>
              </w:rPr>
              <w:t> </w:t>
            </w:r>
            <w:r w:rsidR="00F0525C" w:rsidRPr="00735A44">
              <w:rPr>
                <w:rFonts w:ascii="Times New Roman" w:eastAsia="Calibri" w:hAnsi="Times New Roman" w:cs="Times New Roman"/>
                <w:color w:val="000000" w:themeColor="text1"/>
                <w:sz w:val="24"/>
                <w:szCs w:val="24"/>
                <w:lang w:val="uk-UA" w:eastAsia="zh-CN"/>
              </w:rPr>
              <w:t>2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43280794"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31</w:t>
            </w:r>
            <w:r w:rsidRPr="002B4596">
              <w:rPr>
                <w:rFonts w:ascii="Times New Roman" w:eastAsia="Times New Roman" w:hAnsi="Times New Roman" w:cs="Times New Roman"/>
                <w:b/>
                <w:bCs/>
                <w:color w:val="000000" w:themeColor="text1"/>
                <w:sz w:val="24"/>
                <w:szCs w:val="24"/>
              </w:rPr>
              <w:t>.</w:t>
            </w:r>
            <w:r w:rsidR="00FC4DF3" w:rsidRPr="002B4596">
              <w:rPr>
                <w:rFonts w:ascii="Times New Roman" w:eastAsia="Times New Roman" w:hAnsi="Times New Roman" w:cs="Times New Roman"/>
                <w:b/>
                <w:bCs/>
                <w:color w:val="000000" w:themeColor="text1"/>
                <w:sz w:val="24"/>
                <w:szCs w:val="24"/>
                <w:lang w:val="uk-UA"/>
              </w:rPr>
              <w:t>12</w:t>
            </w:r>
            <w:r w:rsidRPr="002B4596">
              <w:rPr>
                <w:rFonts w:ascii="Times New Roman" w:eastAsia="Times New Roman" w:hAnsi="Times New Roman" w:cs="Times New Roman"/>
                <w:b/>
                <w:bCs/>
                <w:color w:val="000000" w:themeColor="text1"/>
                <w:sz w:val="24"/>
                <w:szCs w:val="24"/>
              </w:rPr>
              <w:t>.202</w:t>
            </w:r>
            <w:r w:rsidR="00B35DE2">
              <w:rPr>
                <w:rFonts w:ascii="Times New Roman" w:eastAsia="Times New Roman" w:hAnsi="Times New Roman" w:cs="Times New Roman"/>
                <w:b/>
                <w:bCs/>
                <w:color w:val="000000" w:themeColor="text1"/>
                <w:sz w:val="24"/>
                <w:szCs w:val="24"/>
                <w:lang w:val="uk-UA"/>
              </w:rPr>
              <w:t>4</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у процедурах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0" w:name="n58"/>
            <w:bookmarkEnd w:id="0"/>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1" w:name="n59"/>
            <w:bookmarkEnd w:id="1"/>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2" w:name="n60"/>
            <w:bookmarkEnd w:id="2"/>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3" w:name="n61"/>
            <w:bookmarkEnd w:id="3"/>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пропозиції мають право подавати всі 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t xml:space="preserve">Усі документи тендерної пропозиції, що підготовлені безпосередньо Учасником повинні 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lastRenderedPageBreak/>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lastRenderedPageBreak/>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 xml:space="preserve">Ціна тендерної пропозиції не може перевищувати очікувану вартість предмета </w:t>
            </w:r>
            <w:r w:rsidRPr="00E60679">
              <w:rPr>
                <w:rFonts w:ascii="Times New Roman" w:eastAsia="Times New Roman" w:hAnsi="Times New Roman" w:cs="Times New Roman"/>
                <w:i/>
                <w:color w:val="000000"/>
                <w:sz w:val="24"/>
                <w:szCs w:val="24"/>
                <w:lang w:val="uk-UA"/>
              </w:rPr>
              <w:lastRenderedPageBreak/>
              <w:t>закупівлі, зазначену в оголошенні про проведення 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r w:rsidRPr="00735A44">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1DE36" w14:textId="10D1ACA1" w:rsidR="00522C66" w:rsidRPr="001605A8" w:rsidRDefault="001605A8" w:rsidP="001605A8">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Не вимагається. </w:t>
            </w: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не </w:t>
            </w:r>
            <w:proofErr w:type="spellStart"/>
            <w:r w:rsidRPr="00735A44">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B1EF9" w14:textId="6ED3639F" w:rsidR="00486BCB" w:rsidRPr="00735A44" w:rsidRDefault="00486BCB" w:rsidP="001605A8">
            <w:pPr>
              <w:shd w:val="clear" w:color="auto" w:fill="FFFFFF"/>
              <w:spacing w:after="150" w:line="240" w:lineRule="auto"/>
              <w:ind w:firstLine="450"/>
              <w:jc w:val="both"/>
              <w:rPr>
                <w:color w:val="000000"/>
                <w:lang w:val="ru-RU"/>
              </w:rPr>
            </w:pP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lastRenderedPageBreak/>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4" w:name="n117"/>
            <w:bookmarkEnd w:id="4"/>
            <w:r w:rsidRPr="00735A44">
              <w:rPr>
                <w:rFonts w:ascii="Times New Roman" w:eastAsia="Times New Roman" w:hAnsi="Times New Roman" w:cs="Times New Roman"/>
                <w:color w:val="000000"/>
                <w:sz w:val="24"/>
                <w:szCs w:val="24"/>
                <w:lang w:val="ru-RU"/>
              </w:rPr>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5" w:name="n118"/>
            <w:bookmarkEnd w:id="5"/>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6" w:name="n119"/>
            <w:bookmarkEnd w:id="6"/>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7" w:name="n120"/>
            <w:bookmarkEnd w:id="7"/>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lastRenderedPageBreak/>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6) керівник учасника процедури закупівлі був </w:t>
            </w:r>
            <w:r w:rsidRPr="00060F25">
              <w:rPr>
                <w:rFonts w:ascii="Times New Roman" w:eastAsia="Times New Roman" w:hAnsi="Times New Roman" w:cs="Times New Roman"/>
                <w:color w:val="000000"/>
                <w:sz w:val="24"/>
                <w:szCs w:val="24"/>
                <w:lang w:val="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060F25">
              <w:rPr>
                <w:rFonts w:ascii="Times New Roman" w:eastAsia="Times New Roman" w:hAnsi="Times New Roman" w:cs="Times New Roman"/>
                <w:color w:val="000000"/>
                <w:sz w:val="24"/>
                <w:szCs w:val="24"/>
                <w:lang w:val="uk-UA"/>
              </w:rPr>
              <w:lastRenderedPageBreak/>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w:t>
            </w:r>
            <w:r w:rsidRPr="00060F25">
              <w:rPr>
                <w:rFonts w:ascii="Times New Roman" w:eastAsia="Times New Roman" w:hAnsi="Times New Roman" w:cs="Times New Roman"/>
                <w:color w:val="000000"/>
                <w:sz w:val="24"/>
                <w:szCs w:val="24"/>
                <w:lang w:val="uk-UA"/>
              </w:rPr>
              <w:lastRenderedPageBreak/>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2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Розрахунок вартості послуг (робіт) можна виконати із залученням інших матеріально-технічних ресурсів у відповідності до вимог чинних нормативних документів із коригуванням 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lastRenderedPageBreak/>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lastRenderedPageBreak/>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00060F25" w:rsidRPr="00735A44">
              <w:rPr>
                <w:rFonts w:ascii="Times New Roman" w:eastAsia="Times New Roman" w:hAnsi="Times New Roman" w:cs="Times New Roman"/>
                <w:color w:val="000000"/>
                <w:sz w:val="24"/>
                <w:szCs w:val="24"/>
                <w:lang w:val="uk-UA"/>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lastRenderedPageBreak/>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2619BE2"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r w:rsidR="00A91B30">
              <w:rPr>
                <w:rFonts w:ascii="Times New Roman" w:eastAsia="Times New Roman" w:hAnsi="Times New Roman" w:cs="Times New Roman"/>
                <w:color w:val="000000"/>
                <w:sz w:val="24"/>
                <w:szCs w:val="24"/>
                <w:lang w:val="uk-UA"/>
              </w:rPr>
              <w:t xml:space="preserve"> </w:t>
            </w:r>
            <w:proofErr w:type="spellStart"/>
            <w:r w:rsidR="005A4DE5" w:rsidRPr="00735A44">
              <w:rPr>
                <w:rFonts w:ascii="Times New Roman" w:eastAsia="Times New Roman" w:hAnsi="Times New Roman" w:cs="Times New Roman"/>
                <w:color w:val="000000"/>
                <w:sz w:val="24"/>
                <w:szCs w:val="24"/>
              </w:rPr>
              <w:t>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387EC53E" w:rsidR="006F363E" w:rsidRPr="009152B3" w:rsidRDefault="009E76BE" w:rsidP="00486BCB">
            <w:pPr>
              <w:spacing w:after="0" w:line="240" w:lineRule="auto"/>
              <w:jc w:val="both"/>
              <w:rPr>
                <w:rFonts w:ascii="Times New Roman" w:hAnsi="Times New Roman" w:cs="Times New Roman"/>
                <w:b/>
                <w:color w:val="000000" w:themeColor="text1"/>
                <w:sz w:val="24"/>
                <w:szCs w:val="24"/>
                <w:highlight w:val="yellow"/>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4B5058" w:rsidRPr="000D28C3">
              <w:rPr>
                <w:rFonts w:ascii="Times New Roman" w:hAnsi="Times New Roman" w:cs="Times New Roman"/>
                <w:b/>
                <w:color w:val="000000" w:themeColor="text1"/>
                <w:sz w:val="24"/>
                <w:szCs w:val="24"/>
                <w:lang w:val="uk-UA"/>
              </w:rPr>
              <w:t>2</w:t>
            </w:r>
            <w:r w:rsidR="00A91B30">
              <w:rPr>
                <w:rFonts w:ascii="Times New Roman" w:hAnsi="Times New Roman" w:cs="Times New Roman"/>
                <w:b/>
                <w:color w:val="000000" w:themeColor="text1"/>
                <w:sz w:val="24"/>
                <w:szCs w:val="24"/>
                <w:lang w:val="uk-UA"/>
              </w:rPr>
              <w:t>7</w:t>
            </w:r>
            <w:r w:rsidR="000D28C3" w:rsidRPr="000D28C3">
              <w:rPr>
                <w:rFonts w:ascii="Times New Roman" w:hAnsi="Times New Roman" w:cs="Times New Roman"/>
                <w:b/>
                <w:color w:val="000000" w:themeColor="text1"/>
                <w:sz w:val="24"/>
                <w:szCs w:val="24"/>
                <w:lang w:val="uk-UA"/>
              </w:rPr>
              <w:t xml:space="preserve"> </w:t>
            </w:r>
            <w:r w:rsidR="002A464C" w:rsidRPr="000D28C3">
              <w:rPr>
                <w:rFonts w:ascii="Times New Roman" w:hAnsi="Times New Roman" w:cs="Times New Roman"/>
                <w:b/>
                <w:color w:val="000000" w:themeColor="text1"/>
                <w:sz w:val="24"/>
                <w:szCs w:val="24"/>
                <w:lang w:val="uk-UA"/>
              </w:rPr>
              <w:t>грудня</w:t>
            </w:r>
            <w:r w:rsidRPr="000D28C3">
              <w:rPr>
                <w:rFonts w:ascii="Times New Roman" w:hAnsi="Times New Roman" w:cs="Times New Roman"/>
                <w:b/>
                <w:color w:val="000000" w:themeColor="text1"/>
                <w:sz w:val="24"/>
                <w:szCs w:val="24"/>
                <w:lang w:val="uk-UA"/>
              </w:rPr>
              <w:t xml:space="preserve"> 202</w:t>
            </w:r>
            <w:r w:rsidR="00590BB5" w:rsidRPr="000D28C3">
              <w:rPr>
                <w:rFonts w:ascii="Times New Roman" w:hAnsi="Times New Roman" w:cs="Times New Roman"/>
                <w:b/>
                <w:color w:val="000000" w:themeColor="text1"/>
                <w:sz w:val="24"/>
                <w:szCs w:val="24"/>
                <w:lang w:val="uk-UA"/>
              </w:rPr>
              <w:t>3</w:t>
            </w:r>
            <w:r w:rsidRPr="000D28C3">
              <w:rPr>
                <w:rFonts w:ascii="Times New Roman" w:hAnsi="Times New Roman" w:cs="Times New Roman"/>
                <w:b/>
                <w:color w:val="000000" w:themeColor="text1"/>
                <w:sz w:val="24"/>
                <w:szCs w:val="24"/>
                <w:lang w:val="uk-UA"/>
              </w:rPr>
              <w:t xml:space="preserve"> року</w:t>
            </w:r>
            <w:r w:rsidR="006F363E" w:rsidRPr="000D28C3">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7C23F3">
        <w:trPr>
          <w:gridAfter w:val="1"/>
          <w:wAfter w:w="80" w:type="dxa"/>
          <w:trHeight w:val="112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w:t>
            </w:r>
            <w:r w:rsidRPr="0092234A">
              <w:rPr>
                <w:rFonts w:ascii="Times New Roman" w:eastAsia="Times New Roman" w:hAnsi="Times New Roman" w:cs="Times New Roman"/>
                <w:color w:val="000000"/>
                <w:sz w:val="24"/>
                <w:szCs w:val="24"/>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77777777" w:rsidR="00154B63" w:rsidRPr="00735A44"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735A44">
              <w:rPr>
                <w:rFonts w:ascii="Times New Roman" w:eastAsia="Times New Roman" w:hAnsi="Times New Roman" w:cs="Times New Roman"/>
                <w:color w:val="000000"/>
                <w:sz w:val="24"/>
                <w:szCs w:val="24"/>
                <w:lang w:val="uk-UA"/>
              </w:rPr>
              <w:t>О</w:t>
            </w:r>
            <w:r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735A44">
              <w:rPr>
                <w:rFonts w:ascii="Times New Roman" w:eastAsia="Times New Roman" w:hAnsi="Times New Roman" w:cs="Times New Roman"/>
                <w:color w:val="000000" w:themeColor="text1"/>
                <w:sz w:val="24"/>
                <w:szCs w:val="24"/>
                <w:lang w:val="uk-UA"/>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768328AA"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Ціна тендерної пропозиції учасника щодо проведення відповідних робіт повинна бути розрахована відповідно до вимог чинного законодавства</w:t>
            </w:r>
            <w:r w:rsidR="003B0F66">
              <w:rPr>
                <w:rFonts w:ascii="Times New Roman" w:eastAsia="Times New Roman" w:hAnsi="Times New Roman" w:cs="Times New Roman"/>
                <w:color w:val="000000" w:themeColor="text1"/>
                <w:sz w:val="24"/>
                <w:szCs w:val="24"/>
                <w:lang w:val="uk-UA"/>
              </w:rPr>
              <w:t xml:space="preserve">, </w:t>
            </w:r>
            <w:r w:rsidR="003B0F66" w:rsidRPr="003B0F66">
              <w:rPr>
                <w:rFonts w:ascii="Times New Roman" w:eastAsia="Times New Roman" w:hAnsi="Times New Roman" w:cs="Times New Roman"/>
                <w:color w:val="000000" w:themeColor="text1"/>
                <w:sz w:val="24"/>
                <w:szCs w:val="24"/>
                <w:lang w:val="uk-UA"/>
              </w:rPr>
              <w:t>згідно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07.10.2022 року № 753.</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70644A1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9E0C21">
              <w:rPr>
                <w:rFonts w:ascii="Times New Roman" w:eastAsia="Times New Roman" w:hAnsi="Times New Roman" w:cs="Times New Roman"/>
                <w:sz w:val="24"/>
                <w:szCs w:val="24"/>
                <w:lang w:val="uk-UA"/>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0C21">
              <w:rPr>
                <w:rFonts w:ascii="Times New Roman" w:eastAsia="Times New Roman" w:hAnsi="Times New Roman" w:cs="Times New Roman"/>
                <w:sz w:val="24"/>
                <w:szCs w:val="24"/>
                <w:lang w:val="uk-UA"/>
              </w:rPr>
              <w:t>бенефіціарним</w:t>
            </w:r>
            <w:proofErr w:type="spellEnd"/>
            <w:r w:rsidRPr="009E0C2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9E0C21">
              <w:rPr>
                <w:rFonts w:ascii="Times New Roman" w:eastAsia="Times New Roman" w:hAnsi="Times New Roman" w:cs="Times New Roman"/>
                <w:bCs/>
                <w:sz w:val="24"/>
                <w:szCs w:val="24"/>
                <w:lang w:val="uk-UA"/>
              </w:rPr>
              <w:t>(далі — активи)</w:t>
            </w:r>
            <w:r w:rsidRPr="009E0C21">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0C21">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AF69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1"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9E0C21">
              <w:rPr>
                <w:rFonts w:ascii="Times New Roman" w:eastAsia="Times New Roman" w:hAnsi="Times New Roman" w:cs="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w:t>
            </w:r>
            <w:r w:rsidRPr="009E0C21">
              <w:rPr>
                <w:rFonts w:ascii="Times New Roman" w:eastAsia="Times New Roman" w:hAnsi="Times New Roman" w:cs="Times New Roman"/>
                <w:color w:val="000000" w:themeColor="text1"/>
                <w:sz w:val="24"/>
                <w:szCs w:val="24"/>
                <w:lang w:val="uk-UA"/>
              </w:rPr>
              <w:lastRenderedPageBreak/>
              <w:t xml:space="preserve">визначення переможця процедури закупівлі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2"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lastRenderedPageBreak/>
              <w:t xml:space="preserve">1.7. </w:t>
            </w:r>
            <w:r w:rsidR="00EB67A1" w:rsidRPr="00735A4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D2654" w14:textId="1BE59060" w:rsidR="00810BCA" w:rsidRPr="00735A44" w:rsidRDefault="00810BCA" w:rsidP="009714C8">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p w14:paraId="47CDBBFE" w14:textId="77777777" w:rsidR="0021093E" w:rsidRPr="00735A44" w:rsidRDefault="0021093E" w:rsidP="0021093E">
            <w:pPr>
              <w:spacing w:after="0" w:line="240" w:lineRule="auto"/>
              <w:ind w:firstLine="350"/>
              <w:jc w:val="both"/>
              <w:rPr>
                <w:rFonts w:ascii="Times New Roman" w:eastAsia="Times New Roman" w:hAnsi="Times New Roman" w:cs="Times New Roman"/>
                <w:sz w:val="24"/>
                <w:szCs w:val="24"/>
                <w:lang w:val="uk-UA"/>
              </w:rPr>
            </w:pP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lastRenderedPageBreak/>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lastRenderedPageBreak/>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w:t>
            </w:r>
            <w:r w:rsidRPr="00EB67A1">
              <w:rPr>
                <w:rFonts w:ascii="Times New Roman" w:eastAsia="Times New Roman" w:hAnsi="Times New Roman" w:cs="Times New Roman"/>
                <w:color w:val="000000"/>
                <w:sz w:val="24"/>
                <w:szCs w:val="24"/>
                <w:lang w:val="uk-UA"/>
              </w:rPr>
              <w:lastRenderedPageBreak/>
              <w:t xml:space="preserve">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Відкриті торги автоматично відміняються 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вартість матеріальних 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 xml:space="preserve">пунктів 10 і 13 (крім підпункту 13 пункту 13) </w:t>
            </w:r>
            <w:r w:rsidR="00FB7C19" w:rsidRPr="00735A44">
              <w:rPr>
                <w:rFonts w:ascii="Times New Roman" w:eastAsia="Times New Roman" w:hAnsi="Times New Roman" w:cs="Times New Roman"/>
                <w:color w:val="000000"/>
                <w:sz w:val="24"/>
                <w:szCs w:val="24"/>
                <w:lang w:val="uk-UA"/>
              </w:rPr>
              <w:lastRenderedPageBreak/>
              <w:t>особливостей, не можуть змінюватися після його підписання до виконання зобов’язань сторонами в 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вид, строк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повернення</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неповернення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виконання</w:t>
            </w:r>
            <w:proofErr w:type="spellEnd"/>
            <w:r w:rsidRPr="00735A44">
              <w:rPr>
                <w:rFonts w:ascii="Times New Roman" w:eastAsia="Times New Roman" w:hAnsi="Times New Roman" w:cs="Times New Roman"/>
                <w:b/>
                <w:bCs/>
                <w:color w:val="000000"/>
                <w:sz w:val="24"/>
                <w:szCs w:val="24"/>
                <w:lang w:val="ru-RU"/>
              </w:rPr>
              <w:t xml:space="preserve">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r w:rsidRPr="00735A44">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777B1" w14:textId="0BF3115A" w:rsidR="00486BCB" w:rsidRPr="001605A8" w:rsidRDefault="001605A8" w:rsidP="001E023D">
            <w:pPr>
              <w:shd w:val="clear" w:color="auto" w:fill="FFFFFF" w:themeFill="background1"/>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eastAsia="ar-SA"/>
              </w:rPr>
              <w:t>Не вимагається</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t>У складі тендерної пропозиції учасник повинен 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lastRenderedPageBreak/>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lastRenderedPageBreak/>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адреса:</w:t>
            </w:r>
            <w:r w:rsidR="00E463AD" w:rsidRPr="00735A44">
              <w:rPr>
                <w:rFonts w:ascii="Times New Roman" w:eastAsia="Times New Roman" w:hAnsi="Times New Roman" w:cs="Times New Roman"/>
                <w:color w:val="000000"/>
                <w:sz w:val="24"/>
                <w:szCs w:val="24"/>
                <w:lang w:val="uk-UA"/>
              </w:rPr>
              <w:t>;</w:t>
            </w:r>
          </w:p>
          <w:p w14:paraId="5331C3E3"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49C5B00A" w:rsidR="006A5645" w:rsidRPr="00735A44"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00FB7C19" w:rsidRPr="00735A44">
              <w:rPr>
                <w:rFonts w:ascii="Times New Roman" w:eastAsia="Times New Roman" w:hAnsi="Times New Roman" w:cs="Times New Roman"/>
                <w:sz w:val="24"/>
                <w:szCs w:val="24"/>
                <w:lang w:val="uk-UA"/>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7C19" w:rsidRPr="00735A44">
              <w:rPr>
                <w:rFonts w:ascii="Times New Roman" w:eastAsia="Times New Roman" w:hAnsi="Times New Roman" w:cs="Times New Roman"/>
                <w:sz w:val="24"/>
                <w:szCs w:val="24"/>
                <w:lang w:val="uk-UA"/>
              </w:rPr>
              <w:t>бенефіціарним</w:t>
            </w:r>
            <w:proofErr w:type="spellEnd"/>
            <w:r w:rsidR="00FB7C19" w:rsidRPr="00735A44">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00FB7C19" w:rsidRPr="00735A44">
              <w:rPr>
                <w:rFonts w:ascii="Times New Roman" w:eastAsia="Times New Roman" w:hAnsi="Times New Roman" w:cs="Times New Roman"/>
                <w:bCs/>
                <w:sz w:val="24"/>
                <w:szCs w:val="24"/>
                <w:lang w:val="uk-UA"/>
              </w:rPr>
              <w:t>(далі — активи)</w:t>
            </w:r>
            <w:r w:rsidR="00FB7C19" w:rsidRPr="00735A44">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FB7C19" w:rsidRPr="00735A44">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7C19" w:rsidRPr="00735A44">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7C19" w:rsidRPr="00735A44">
              <w:rPr>
                <w:rFonts w:ascii="Times New Roman" w:eastAsia="Times New Roman" w:hAnsi="Times New Roman" w:cs="Times New Roman"/>
                <w:sz w:val="24"/>
                <w:szCs w:val="24"/>
                <w:lang w:val="uk-UA"/>
              </w:rPr>
              <w:t>закупівель</w:t>
            </w:r>
            <w:proofErr w:type="spellEnd"/>
            <w:r w:rsidR="00FB7C19" w:rsidRPr="00735A4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lastRenderedPageBreak/>
              <w:t xml:space="preserve">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w:t>
            </w:r>
            <w:r w:rsidRPr="00EB67A1">
              <w:rPr>
                <w:rFonts w:ascii="Times New Roman" w:hAnsi="Times New Roman" w:cs="Times New Roman"/>
                <w:color w:val="000000" w:themeColor="text1"/>
                <w:sz w:val="24"/>
                <w:szCs w:val="24"/>
              </w:rPr>
              <w:lastRenderedPageBreak/>
              <w:t xml:space="preserve">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5"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w:t>
            </w:r>
            <w:r w:rsidRPr="00EB67A1">
              <w:rPr>
                <w:rFonts w:ascii="Times New Roman" w:hAnsi="Times New Roman" w:cs="Times New Roman"/>
                <w:color w:val="000000" w:themeColor="text1"/>
                <w:sz w:val="24"/>
                <w:szCs w:val="24"/>
              </w:rPr>
              <w:lastRenderedPageBreak/>
              <w:t xml:space="preserve">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1B55124" w14:textId="77777777" w:rsidR="00486BCB" w:rsidRDefault="00486BCB" w:rsidP="00486BCB">
            <w:pPr>
              <w:spacing w:after="0" w:line="240" w:lineRule="auto"/>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645A15B8" w14:textId="54A4EAB5" w:rsidR="00550A0B" w:rsidRPr="002B6174" w:rsidRDefault="00550A0B" w:rsidP="00550A0B">
            <w:pPr>
              <w:spacing w:after="0" w:line="240" w:lineRule="auto"/>
              <w:rPr>
                <w:rFonts w:ascii="Times New Roman" w:eastAsia="Times New Roman" w:hAnsi="Times New Roman" w:cs="Times New Roman"/>
                <w:b/>
                <w:bCs/>
                <w:color w:val="000000"/>
                <w:sz w:val="24"/>
                <w:szCs w:val="24"/>
                <w:lang w:val="uk-UA"/>
              </w:rPr>
            </w:pP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6"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Особливостями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D2C6"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lastRenderedPageBreak/>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E4E1"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8" w:name="_heading=h.gjdgxs"/>
      <w:bookmarkEnd w:id="8"/>
    </w:p>
    <w:sectPr w:rsidR="00860E47" w:rsidRPr="00AC6747" w:rsidSect="000F27E6">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EF2E" w14:textId="77777777" w:rsidR="00F75A0A" w:rsidRDefault="00F75A0A" w:rsidP="002B08A9">
      <w:pPr>
        <w:spacing w:after="0" w:line="240" w:lineRule="auto"/>
      </w:pPr>
      <w:r>
        <w:separator/>
      </w:r>
    </w:p>
  </w:endnote>
  <w:endnote w:type="continuationSeparator" w:id="0">
    <w:p w14:paraId="2C8C2ED7" w14:textId="77777777" w:rsidR="00F75A0A" w:rsidRDefault="00F75A0A"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9972" w14:textId="77777777" w:rsidR="00F75A0A" w:rsidRDefault="00F75A0A" w:rsidP="002B08A9">
      <w:pPr>
        <w:spacing w:after="0" w:line="240" w:lineRule="auto"/>
      </w:pPr>
      <w:r>
        <w:separator/>
      </w:r>
    </w:p>
  </w:footnote>
  <w:footnote w:type="continuationSeparator" w:id="0">
    <w:p w14:paraId="61626ECC" w14:textId="77777777" w:rsidR="00F75A0A" w:rsidRDefault="00F75A0A"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32399"/>
    <w:rsid w:val="00032EC9"/>
    <w:rsid w:val="00046F6C"/>
    <w:rsid w:val="0005193E"/>
    <w:rsid w:val="0006017B"/>
    <w:rsid w:val="00060F25"/>
    <w:rsid w:val="00062A25"/>
    <w:rsid w:val="00077AEB"/>
    <w:rsid w:val="000805EB"/>
    <w:rsid w:val="0008578A"/>
    <w:rsid w:val="000948C6"/>
    <w:rsid w:val="0009552C"/>
    <w:rsid w:val="00096A3A"/>
    <w:rsid w:val="000A3065"/>
    <w:rsid w:val="000A7E2F"/>
    <w:rsid w:val="000D28C3"/>
    <w:rsid w:val="000D3D4C"/>
    <w:rsid w:val="000D7347"/>
    <w:rsid w:val="000D7C8E"/>
    <w:rsid w:val="000F1C73"/>
    <w:rsid w:val="000F27E6"/>
    <w:rsid w:val="0010105D"/>
    <w:rsid w:val="00101306"/>
    <w:rsid w:val="00116F1E"/>
    <w:rsid w:val="0011790D"/>
    <w:rsid w:val="00126FBB"/>
    <w:rsid w:val="00135411"/>
    <w:rsid w:val="00141E09"/>
    <w:rsid w:val="00154B63"/>
    <w:rsid w:val="001605A8"/>
    <w:rsid w:val="00164205"/>
    <w:rsid w:val="00166E01"/>
    <w:rsid w:val="001714C7"/>
    <w:rsid w:val="00175C3F"/>
    <w:rsid w:val="00180026"/>
    <w:rsid w:val="00185264"/>
    <w:rsid w:val="00195ED9"/>
    <w:rsid w:val="001C7C8C"/>
    <w:rsid w:val="001D0784"/>
    <w:rsid w:val="001D7A32"/>
    <w:rsid w:val="001E023D"/>
    <w:rsid w:val="001E64D4"/>
    <w:rsid w:val="001F42CD"/>
    <w:rsid w:val="0020319C"/>
    <w:rsid w:val="0021093E"/>
    <w:rsid w:val="0022256A"/>
    <w:rsid w:val="0023105E"/>
    <w:rsid w:val="002555FB"/>
    <w:rsid w:val="00255DB9"/>
    <w:rsid w:val="00260530"/>
    <w:rsid w:val="00280099"/>
    <w:rsid w:val="002802F3"/>
    <w:rsid w:val="002805E1"/>
    <w:rsid w:val="00280C6D"/>
    <w:rsid w:val="00284898"/>
    <w:rsid w:val="00291894"/>
    <w:rsid w:val="002959D7"/>
    <w:rsid w:val="002A3177"/>
    <w:rsid w:val="002A464C"/>
    <w:rsid w:val="002B08A9"/>
    <w:rsid w:val="002B1E43"/>
    <w:rsid w:val="002B4596"/>
    <w:rsid w:val="002B6174"/>
    <w:rsid w:val="002C0530"/>
    <w:rsid w:val="002C4E28"/>
    <w:rsid w:val="002C5DEA"/>
    <w:rsid w:val="002D7535"/>
    <w:rsid w:val="002E5931"/>
    <w:rsid w:val="002E7AD3"/>
    <w:rsid w:val="002F3F89"/>
    <w:rsid w:val="00300A1E"/>
    <w:rsid w:val="003171CF"/>
    <w:rsid w:val="003217DF"/>
    <w:rsid w:val="003322EF"/>
    <w:rsid w:val="00347D5F"/>
    <w:rsid w:val="0038230E"/>
    <w:rsid w:val="00390E30"/>
    <w:rsid w:val="00391B1E"/>
    <w:rsid w:val="00392687"/>
    <w:rsid w:val="00397030"/>
    <w:rsid w:val="003B0F66"/>
    <w:rsid w:val="003C53BE"/>
    <w:rsid w:val="003D6736"/>
    <w:rsid w:val="003E0F4B"/>
    <w:rsid w:val="003E146D"/>
    <w:rsid w:val="003E3DE9"/>
    <w:rsid w:val="003F4F7C"/>
    <w:rsid w:val="00404E89"/>
    <w:rsid w:val="00417DCD"/>
    <w:rsid w:val="004227F5"/>
    <w:rsid w:val="0043709A"/>
    <w:rsid w:val="00441AA7"/>
    <w:rsid w:val="004430BB"/>
    <w:rsid w:val="004443D2"/>
    <w:rsid w:val="0044489F"/>
    <w:rsid w:val="00457960"/>
    <w:rsid w:val="00470DA6"/>
    <w:rsid w:val="00474DB0"/>
    <w:rsid w:val="00476077"/>
    <w:rsid w:val="0047662F"/>
    <w:rsid w:val="00486BCB"/>
    <w:rsid w:val="00497ECA"/>
    <w:rsid w:val="004A1DBC"/>
    <w:rsid w:val="004A26E1"/>
    <w:rsid w:val="004A7F5E"/>
    <w:rsid w:val="004B36C4"/>
    <w:rsid w:val="004B5058"/>
    <w:rsid w:val="004C03DE"/>
    <w:rsid w:val="004E0F05"/>
    <w:rsid w:val="004E1EAC"/>
    <w:rsid w:val="004F7615"/>
    <w:rsid w:val="005125F0"/>
    <w:rsid w:val="00522C66"/>
    <w:rsid w:val="0052627A"/>
    <w:rsid w:val="0053169A"/>
    <w:rsid w:val="00536A95"/>
    <w:rsid w:val="00537B41"/>
    <w:rsid w:val="00537C9B"/>
    <w:rsid w:val="00550A0B"/>
    <w:rsid w:val="0056338A"/>
    <w:rsid w:val="00566536"/>
    <w:rsid w:val="0057077C"/>
    <w:rsid w:val="00572205"/>
    <w:rsid w:val="00575C5F"/>
    <w:rsid w:val="00583F4E"/>
    <w:rsid w:val="005909EF"/>
    <w:rsid w:val="00590BB5"/>
    <w:rsid w:val="005A4DE5"/>
    <w:rsid w:val="005B79CA"/>
    <w:rsid w:val="005D37D1"/>
    <w:rsid w:val="005E2342"/>
    <w:rsid w:val="005E4339"/>
    <w:rsid w:val="005E6938"/>
    <w:rsid w:val="00606C4A"/>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9733E"/>
    <w:rsid w:val="006A5645"/>
    <w:rsid w:val="006A7647"/>
    <w:rsid w:val="006A785E"/>
    <w:rsid w:val="006A7C7D"/>
    <w:rsid w:val="006B0CA2"/>
    <w:rsid w:val="006C6C11"/>
    <w:rsid w:val="006D1124"/>
    <w:rsid w:val="006D57FC"/>
    <w:rsid w:val="006E20E2"/>
    <w:rsid w:val="006E7206"/>
    <w:rsid w:val="006F008D"/>
    <w:rsid w:val="006F1366"/>
    <w:rsid w:val="006F363E"/>
    <w:rsid w:val="007010FC"/>
    <w:rsid w:val="00717AC6"/>
    <w:rsid w:val="0073562F"/>
    <w:rsid w:val="00735A44"/>
    <w:rsid w:val="00750A0D"/>
    <w:rsid w:val="00763DE6"/>
    <w:rsid w:val="00764D82"/>
    <w:rsid w:val="00766956"/>
    <w:rsid w:val="00771B35"/>
    <w:rsid w:val="0077536A"/>
    <w:rsid w:val="00780CAF"/>
    <w:rsid w:val="007833AA"/>
    <w:rsid w:val="00793451"/>
    <w:rsid w:val="00796A32"/>
    <w:rsid w:val="007A670C"/>
    <w:rsid w:val="007B08A8"/>
    <w:rsid w:val="007B4985"/>
    <w:rsid w:val="007C23F3"/>
    <w:rsid w:val="007C46EC"/>
    <w:rsid w:val="007C744E"/>
    <w:rsid w:val="007D55C2"/>
    <w:rsid w:val="007E0EBB"/>
    <w:rsid w:val="007E1EF0"/>
    <w:rsid w:val="007E2277"/>
    <w:rsid w:val="007F7DFA"/>
    <w:rsid w:val="00800BC7"/>
    <w:rsid w:val="008026A1"/>
    <w:rsid w:val="00805023"/>
    <w:rsid w:val="00806684"/>
    <w:rsid w:val="00810BCA"/>
    <w:rsid w:val="0081629A"/>
    <w:rsid w:val="0082629E"/>
    <w:rsid w:val="00860A78"/>
    <w:rsid w:val="00860E47"/>
    <w:rsid w:val="00861808"/>
    <w:rsid w:val="00862E30"/>
    <w:rsid w:val="00864970"/>
    <w:rsid w:val="00890764"/>
    <w:rsid w:val="00897345"/>
    <w:rsid w:val="008A03F4"/>
    <w:rsid w:val="008A2D0B"/>
    <w:rsid w:val="008A427E"/>
    <w:rsid w:val="008B310C"/>
    <w:rsid w:val="008B55EF"/>
    <w:rsid w:val="008C41A7"/>
    <w:rsid w:val="008E673D"/>
    <w:rsid w:val="008E7D5F"/>
    <w:rsid w:val="008F19C2"/>
    <w:rsid w:val="008F2292"/>
    <w:rsid w:val="008F5E7E"/>
    <w:rsid w:val="008F6086"/>
    <w:rsid w:val="008F6E8E"/>
    <w:rsid w:val="008F767F"/>
    <w:rsid w:val="00906DBE"/>
    <w:rsid w:val="00914009"/>
    <w:rsid w:val="009152B3"/>
    <w:rsid w:val="0092234A"/>
    <w:rsid w:val="00922403"/>
    <w:rsid w:val="00931112"/>
    <w:rsid w:val="00931EC2"/>
    <w:rsid w:val="0094639C"/>
    <w:rsid w:val="00951F7D"/>
    <w:rsid w:val="00953ACE"/>
    <w:rsid w:val="00954D65"/>
    <w:rsid w:val="00955E57"/>
    <w:rsid w:val="009714C8"/>
    <w:rsid w:val="00973982"/>
    <w:rsid w:val="009757BA"/>
    <w:rsid w:val="009831EF"/>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80E90"/>
    <w:rsid w:val="00A91B30"/>
    <w:rsid w:val="00A93EAA"/>
    <w:rsid w:val="00A97AC1"/>
    <w:rsid w:val="00AA4270"/>
    <w:rsid w:val="00AB172E"/>
    <w:rsid w:val="00AB3611"/>
    <w:rsid w:val="00AB3B43"/>
    <w:rsid w:val="00AB5CAD"/>
    <w:rsid w:val="00AC0311"/>
    <w:rsid w:val="00AC3A8C"/>
    <w:rsid w:val="00AC3FC3"/>
    <w:rsid w:val="00AC6747"/>
    <w:rsid w:val="00AD2040"/>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62216"/>
    <w:rsid w:val="00B70FDE"/>
    <w:rsid w:val="00B81B01"/>
    <w:rsid w:val="00B9149E"/>
    <w:rsid w:val="00BA3ED9"/>
    <w:rsid w:val="00BB19D0"/>
    <w:rsid w:val="00BB3B8B"/>
    <w:rsid w:val="00BB4AE1"/>
    <w:rsid w:val="00BB5861"/>
    <w:rsid w:val="00BD0EBE"/>
    <w:rsid w:val="00BD5916"/>
    <w:rsid w:val="00BE0152"/>
    <w:rsid w:val="00BE234D"/>
    <w:rsid w:val="00BE69C4"/>
    <w:rsid w:val="00BF2DB4"/>
    <w:rsid w:val="00BF49A7"/>
    <w:rsid w:val="00C06868"/>
    <w:rsid w:val="00C20CD1"/>
    <w:rsid w:val="00C20EF2"/>
    <w:rsid w:val="00C23D49"/>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E3F"/>
    <w:rsid w:val="00CE1B08"/>
    <w:rsid w:val="00CF08FD"/>
    <w:rsid w:val="00D02587"/>
    <w:rsid w:val="00D05271"/>
    <w:rsid w:val="00D20E77"/>
    <w:rsid w:val="00D21355"/>
    <w:rsid w:val="00D25C04"/>
    <w:rsid w:val="00D27A55"/>
    <w:rsid w:val="00D3562A"/>
    <w:rsid w:val="00D47629"/>
    <w:rsid w:val="00D51800"/>
    <w:rsid w:val="00D52F67"/>
    <w:rsid w:val="00D610FC"/>
    <w:rsid w:val="00D64651"/>
    <w:rsid w:val="00D713D7"/>
    <w:rsid w:val="00D72942"/>
    <w:rsid w:val="00D73219"/>
    <w:rsid w:val="00D74E44"/>
    <w:rsid w:val="00D87574"/>
    <w:rsid w:val="00D9501A"/>
    <w:rsid w:val="00D950D1"/>
    <w:rsid w:val="00D9608C"/>
    <w:rsid w:val="00DA2F30"/>
    <w:rsid w:val="00DA516B"/>
    <w:rsid w:val="00DA5D1C"/>
    <w:rsid w:val="00DC0D63"/>
    <w:rsid w:val="00DC37D9"/>
    <w:rsid w:val="00DC7612"/>
    <w:rsid w:val="00DC7C95"/>
    <w:rsid w:val="00DE07DB"/>
    <w:rsid w:val="00DF3B7E"/>
    <w:rsid w:val="00DF74D5"/>
    <w:rsid w:val="00E052F1"/>
    <w:rsid w:val="00E14639"/>
    <w:rsid w:val="00E30A26"/>
    <w:rsid w:val="00E463AD"/>
    <w:rsid w:val="00E54D65"/>
    <w:rsid w:val="00E55248"/>
    <w:rsid w:val="00E60679"/>
    <w:rsid w:val="00E740D8"/>
    <w:rsid w:val="00E7601A"/>
    <w:rsid w:val="00E80AEC"/>
    <w:rsid w:val="00E860B8"/>
    <w:rsid w:val="00E87B55"/>
    <w:rsid w:val="00E90A56"/>
    <w:rsid w:val="00E910CB"/>
    <w:rsid w:val="00EA1A3E"/>
    <w:rsid w:val="00EA1CE7"/>
    <w:rsid w:val="00EA5F5B"/>
    <w:rsid w:val="00EB67A1"/>
    <w:rsid w:val="00EB6DD2"/>
    <w:rsid w:val="00EB7EFB"/>
    <w:rsid w:val="00EC33EA"/>
    <w:rsid w:val="00EC4436"/>
    <w:rsid w:val="00EE1A4D"/>
    <w:rsid w:val="00EF1157"/>
    <w:rsid w:val="00EF268F"/>
    <w:rsid w:val="00EF2921"/>
    <w:rsid w:val="00EF5027"/>
    <w:rsid w:val="00F0525C"/>
    <w:rsid w:val="00F079B1"/>
    <w:rsid w:val="00F11962"/>
    <w:rsid w:val="00F11E55"/>
    <w:rsid w:val="00F2112B"/>
    <w:rsid w:val="00F32DA8"/>
    <w:rsid w:val="00F42847"/>
    <w:rsid w:val="00F437D9"/>
    <w:rsid w:val="00F5127A"/>
    <w:rsid w:val="00F75A0A"/>
    <w:rsid w:val="00F77372"/>
    <w:rsid w:val="00F905E2"/>
    <w:rsid w:val="00F95C69"/>
    <w:rsid w:val="00FA4B89"/>
    <w:rsid w:val="00FB0973"/>
    <w:rsid w:val="00FB2E75"/>
    <w:rsid w:val="00FB5BDB"/>
    <w:rsid w:val="00FB7C19"/>
    <w:rsid w:val="00FB7C45"/>
    <w:rsid w:val="00FC46E2"/>
    <w:rsid w:val="00FC4DF3"/>
    <w:rsid w:val="00FD20FE"/>
    <w:rsid w:val="00FD2831"/>
    <w:rsid w:val="00FE04FD"/>
    <w:rsid w:val="00FE08A1"/>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Pages>
  <Words>11151</Words>
  <Characters>63562</Characters>
  <Application>Microsoft Office Word</Application>
  <DocSecurity>0</DocSecurity>
  <Lines>529</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201</cp:revision>
  <cp:lastPrinted>2022-09-13T12:51:00Z</cp:lastPrinted>
  <dcterms:created xsi:type="dcterms:W3CDTF">2020-05-04T17:17:00Z</dcterms:created>
  <dcterms:modified xsi:type="dcterms:W3CDTF">2023-12-19T14:53:00Z</dcterms:modified>
</cp:coreProperties>
</file>