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D4787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C85687">
      <w:pPr>
        <w:spacing w:line="276" w:lineRule="auto"/>
        <w:ind w:firstLine="567"/>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зобов’язується в порядку та на умовах визначених цим Договором протягом 202</w:t>
      </w:r>
      <w:r w:rsidR="00D47874">
        <w:rPr>
          <w:rFonts w:ascii="Times New Roman" w:hAnsi="Times New Roman" w:cs="Times New Roman"/>
          <w:sz w:val="24"/>
          <w:szCs w:val="24"/>
        </w:rPr>
        <w:t>4</w:t>
      </w:r>
      <w:r w:rsidRPr="00065B2E">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C85687" w:rsidRPr="00C85687">
        <w:rPr>
          <w:rFonts w:ascii="Times New Roman CYR" w:eastAsia="Times New Roman" w:hAnsi="Times New Roman CYR" w:cs="Times New Roman"/>
          <w:b/>
          <w:sz w:val="24"/>
          <w:szCs w:val="24"/>
        </w:rPr>
        <w:t>Оселедець слабосолений</w:t>
      </w:r>
      <w:r w:rsidR="00C85687" w:rsidRPr="00C85687">
        <w:rPr>
          <w:rFonts w:ascii="Times New Roman CYR" w:eastAsia="Times New Roman" w:hAnsi="Times New Roman CYR" w:cs="Times New Roman"/>
          <w:sz w:val="24"/>
          <w:szCs w:val="24"/>
        </w:rPr>
        <w:t xml:space="preserve"> за ЄЗС ДК 021:2015 (CPV): код 15230000-9 - Сушена чи солена риба; риба в розсолі; копчена риба</w:t>
      </w:r>
      <w:r w:rsidR="002A628C" w:rsidRPr="0036550F">
        <w:rPr>
          <w:rFonts w:ascii="Times New Roman" w:hAnsi="Times New Roman" w:cs="Times New Roman"/>
          <w:color w:val="000000"/>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2B39DD">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D47874">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2B39DD">
        <w:rPr>
          <w:rFonts w:ascii="Times New Roman" w:hAnsi="Times New Roman"/>
          <w:sz w:val="24"/>
          <w:szCs w:val="24"/>
        </w:rPr>
        <w:t>4</w:t>
      </w:r>
      <w:bookmarkStart w:id="0" w:name="_GoBack"/>
      <w:bookmarkEnd w:id="0"/>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6738F5">
        <w:rPr>
          <w:rFonts w:ascii="Times New Roman" w:hAnsi="Times New Roman" w:cs="Times New Roman"/>
          <w:sz w:val="24"/>
          <w:szCs w:val="24"/>
        </w:rPr>
        <w:t>два</w:t>
      </w:r>
      <w:r w:rsidR="008E16AF">
        <w:rPr>
          <w:rFonts w:ascii="Times New Roman" w:hAnsi="Times New Roman" w:cs="Times New Roman"/>
          <w:sz w:val="24"/>
          <w:szCs w:val="24"/>
        </w:rPr>
        <w:t>-</w:t>
      </w:r>
      <w:r w:rsidR="006738F5">
        <w:rPr>
          <w:rFonts w:ascii="Times New Roman" w:hAnsi="Times New Roman" w:cs="Times New Roman"/>
          <w:sz w:val="24"/>
          <w:szCs w:val="24"/>
        </w:rPr>
        <w:t>три</w:t>
      </w:r>
      <w:r w:rsidR="008E16AF">
        <w:rPr>
          <w:rFonts w:ascii="Times New Roman" w:hAnsi="Times New Roman" w:cs="Times New Roman"/>
          <w:sz w:val="24"/>
          <w:szCs w:val="24"/>
        </w:rPr>
        <w:t xml:space="preserve"> рази на тиждень)</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2B39DD">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w:t>
      </w:r>
      <w:r w:rsidRPr="00A44B59">
        <w:rPr>
          <w:rFonts w:ascii="Times New Roman" w:hAnsi="Times New Roman" w:cs="Times New Roman"/>
          <w:sz w:val="24"/>
          <w:szCs w:val="24"/>
        </w:rPr>
        <w:lastRenderedPageBreak/>
        <w:t xml:space="preserve">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w:t>
      </w:r>
      <w:r w:rsidRPr="00FC70EA">
        <w:rPr>
          <w:rFonts w:ascii="Times New Roman" w:eastAsia="Times New Roman" w:hAnsi="Times New Roman" w:cs="Times New Roman"/>
          <w:sz w:val="24"/>
          <w:szCs w:val="24"/>
          <w:lang w:eastAsia="x-none"/>
        </w:rPr>
        <w:lastRenderedPageBreak/>
        <w:t>(форс-мажорні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47874">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w:t>
      </w:r>
      <w:r w:rsidRPr="00FC70EA">
        <w:rPr>
          <w:rFonts w:ascii="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D47874">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F2" w:rsidRDefault="00A67DF2">
      <w:r>
        <w:separator/>
      </w:r>
    </w:p>
  </w:endnote>
  <w:endnote w:type="continuationSeparator" w:id="0">
    <w:p w:rsidR="00A67DF2" w:rsidRDefault="00A6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F2" w:rsidRDefault="00A67DF2">
      <w:r>
        <w:separator/>
      </w:r>
    </w:p>
  </w:footnote>
  <w:footnote w:type="continuationSeparator" w:id="0">
    <w:p w:rsidR="00A67DF2" w:rsidRDefault="00A67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2B39DD">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210F12"/>
    <w:rsid w:val="002144AC"/>
    <w:rsid w:val="0023022F"/>
    <w:rsid w:val="002377EF"/>
    <w:rsid w:val="00241D05"/>
    <w:rsid w:val="00262163"/>
    <w:rsid w:val="00272511"/>
    <w:rsid w:val="00296887"/>
    <w:rsid w:val="00296E07"/>
    <w:rsid w:val="002A628C"/>
    <w:rsid w:val="002B39DD"/>
    <w:rsid w:val="002B4F60"/>
    <w:rsid w:val="002C58FF"/>
    <w:rsid w:val="002D280E"/>
    <w:rsid w:val="002E0BC2"/>
    <w:rsid w:val="002E14B2"/>
    <w:rsid w:val="002F12C4"/>
    <w:rsid w:val="0031639D"/>
    <w:rsid w:val="00322F40"/>
    <w:rsid w:val="00323933"/>
    <w:rsid w:val="0034142E"/>
    <w:rsid w:val="003429FF"/>
    <w:rsid w:val="0036697A"/>
    <w:rsid w:val="00380B45"/>
    <w:rsid w:val="00384921"/>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5D1C10"/>
    <w:rsid w:val="006059CE"/>
    <w:rsid w:val="006141C5"/>
    <w:rsid w:val="00623213"/>
    <w:rsid w:val="00625E83"/>
    <w:rsid w:val="00652419"/>
    <w:rsid w:val="006738F5"/>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77FBA"/>
    <w:rsid w:val="00984C22"/>
    <w:rsid w:val="00997C2F"/>
    <w:rsid w:val="009A6958"/>
    <w:rsid w:val="009B0463"/>
    <w:rsid w:val="009B46E4"/>
    <w:rsid w:val="009C7E00"/>
    <w:rsid w:val="009E20FB"/>
    <w:rsid w:val="009F389D"/>
    <w:rsid w:val="00A268FB"/>
    <w:rsid w:val="00A26A6A"/>
    <w:rsid w:val="00A33928"/>
    <w:rsid w:val="00A44B59"/>
    <w:rsid w:val="00A6562C"/>
    <w:rsid w:val="00A67DF2"/>
    <w:rsid w:val="00A7464F"/>
    <w:rsid w:val="00AD4F40"/>
    <w:rsid w:val="00AD65E6"/>
    <w:rsid w:val="00AE443E"/>
    <w:rsid w:val="00AF1288"/>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687"/>
    <w:rsid w:val="00C85782"/>
    <w:rsid w:val="00C93EBA"/>
    <w:rsid w:val="00C9463A"/>
    <w:rsid w:val="00CA625A"/>
    <w:rsid w:val="00CC068E"/>
    <w:rsid w:val="00CE118B"/>
    <w:rsid w:val="00CE1F7D"/>
    <w:rsid w:val="00CF25FD"/>
    <w:rsid w:val="00CF36FF"/>
    <w:rsid w:val="00D132F7"/>
    <w:rsid w:val="00D14797"/>
    <w:rsid w:val="00D20742"/>
    <w:rsid w:val="00D47874"/>
    <w:rsid w:val="00D5392C"/>
    <w:rsid w:val="00D53EB6"/>
    <w:rsid w:val="00D55C5F"/>
    <w:rsid w:val="00D6207B"/>
    <w:rsid w:val="00D84D56"/>
    <w:rsid w:val="00D93E1D"/>
    <w:rsid w:val="00DA6FF4"/>
    <w:rsid w:val="00DD0E63"/>
    <w:rsid w:val="00DD4065"/>
    <w:rsid w:val="00E131BF"/>
    <w:rsid w:val="00E162E6"/>
    <w:rsid w:val="00E16EDF"/>
    <w:rsid w:val="00E22CE4"/>
    <w:rsid w:val="00E33230"/>
    <w:rsid w:val="00E42F98"/>
    <w:rsid w:val="00E67D61"/>
    <w:rsid w:val="00E81642"/>
    <w:rsid w:val="00EA5074"/>
    <w:rsid w:val="00EA77F7"/>
    <w:rsid w:val="00EB161D"/>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58838"/>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66</cp:revision>
  <cp:lastPrinted>2020-06-05T09:18:00Z</cp:lastPrinted>
  <dcterms:created xsi:type="dcterms:W3CDTF">2020-05-05T13:00:00Z</dcterms:created>
  <dcterms:modified xsi:type="dcterms:W3CDTF">2024-02-09T10:03:00Z</dcterms:modified>
</cp:coreProperties>
</file>