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72" w:rsidRPr="00176462" w:rsidRDefault="00FF2772" w:rsidP="00FF2772">
      <w:pPr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Додаток № 3</w:t>
      </w:r>
    </w:p>
    <w:p w:rsidR="00FF2772" w:rsidRDefault="00FF2772" w:rsidP="00FF2772">
      <w:pPr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17646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 тендерної документації</w:t>
      </w:r>
    </w:p>
    <w:p w:rsidR="00FF2772" w:rsidRDefault="00FF2772" w:rsidP="00145778">
      <w:pP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FD197F" w:rsidRDefault="00FF2772" w:rsidP="00145778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2D02F6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:rsidR="00E15AF5" w:rsidRPr="009469B1" w:rsidRDefault="00FD197F" w:rsidP="00946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FD197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Технічне завдання</w:t>
      </w:r>
    </w:p>
    <w:p w:rsidR="00E15AF5" w:rsidRDefault="00E15AF5" w:rsidP="00E15AF5">
      <w:pPr>
        <w:jc w:val="center"/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</w:pPr>
      <w:r w:rsidRPr="00390613"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  <w:t>Порівняльна таблиця технічних</w:t>
      </w:r>
      <w:r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  <w:t xml:space="preserve">, якісних та кількісних </w:t>
      </w:r>
      <w:r w:rsidRPr="00390613"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  <w:t xml:space="preserve"> характеристик</w:t>
      </w:r>
    </w:p>
    <w:p w:rsidR="00E15AF5" w:rsidRPr="00390613" w:rsidRDefault="00E15AF5" w:rsidP="00E37226">
      <w:pPr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275"/>
        <w:gridCol w:w="1842"/>
        <w:gridCol w:w="1560"/>
        <w:gridCol w:w="1275"/>
      </w:tblGrid>
      <w:tr w:rsidR="00202010" w:rsidRPr="00F13874" w:rsidTr="00646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Pr="00F13874" w:rsidRDefault="00202010" w:rsidP="007157A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 w:rsidRPr="00F1387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10" w:rsidRPr="00F13874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 w:rsidRPr="00505E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Найменування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Т</w:t>
            </w:r>
            <w:r w:rsidRPr="00F1387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ехнічні характеристики запропоновано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го предмету закупівлі Учасником</w:t>
            </w:r>
          </w:p>
          <w:p w:rsidR="00202010" w:rsidRPr="00F13874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(к</w:t>
            </w:r>
            <w:r w:rsidRPr="00505E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аталожний номер або маркування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Pr="00F13874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 w:rsidRPr="004C4E6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Кількість,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10" w:rsidRPr="00F13874" w:rsidRDefault="00202010" w:rsidP="00505E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 w:rsidRPr="00505E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Найменування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0" w:rsidRDefault="00202010" w:rsidP="00505E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Т</w:t>
            </w:r>
            <w:r w:rsidRPr="00F1387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ехнічні характеристики запропоновано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го предмету закупівлі Учасником</w:t>
            </w:r>
          </w:p>
          <w:p w:rsidR="00202010" w:rsidRPr="00F13874" w:rsidRDefault="0020201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(к</w:t>
            </w:r>
            <w:r w:rsidRPr="00505E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аталожний номер або маркування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Pr="00F13874" w:rsidRDefault="0020201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 w:rsidRPr="004C4E6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Кількість, шт.</w:t>
            </w:r>
          </w:p>
        </w:tc>
      </w:tr>
      <w:tr w:rsidR="001E6C5C" w:rsidRPr="00F13874" w:rsidTr="001E6C5C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5C" w:rsidRPr="001E6C5C" w:rsidRDefault="001E6C5C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1E6C5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5C" w:rsidRPr="001E6C5C" w:rsidRDefault="001E6C5C" w:rsidP="001E6C5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1E6C5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Шина 215/55R16 97V NFERA SU1 XL (</w:t>
            </w:r>
            <w:proofErr w:type="spellStart"/>
            <w:r w:rsidRPr="001E6C5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Nexen</w:t>
            </w:r>
            <w:proofErr w:type="spellEnd"/>
            <w:r w:rsidRPr="001E6C5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5C" w:rsidRPr="001E6C5C" w:rsidRDefault="001E6C5C" w:rsidP="001E6C5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1E6C5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15763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5C" w:rsidRPr="001E6C5C" w:rsidRDefault="001E6C5C" w:rsidP="001E6C5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1E6C5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5C" w:rsidRPr="00F13874" w:rsidRDefault="001E6C5C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C" w:rsidRPr="00F13874" w:rsidRDefault="001E6C5C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C" w:rsidRPr="00F13874" w:rsidRDefault="001E6C5C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</w:p>
        </w:tc>
      </w:tr>
    </w:tbl>
    <w:p w:rsidR="007157A5" w:rsidRDefault="007157A5" w:rsidP="007157A5">
      <w:pPr>
        <w:spacing w:line="240" w:lineRule="auto"/>
        <w:jc w:val="both"/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</w:pPr>
    </w:p>
    <w:p w:rsidR="001E6C5C" w:rsidRPr="001E6C5C" w:rsidRDefault="001E6C5C" w:rsidP="001E6C5C">
      <w:pPr>
        <w:widowControl w:val="0"/>
        <w:suppressAutoHyphens/>
        <w:spacing w:line="288" w:lineRule="auto"/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1E6C5C" w:rsidRPr="001E6C5C" w:rsidTr="00791A82">
        <w:tc>
          <w:tcPr>
            <w:tcW w:w="3190" w:type="dxa"/>
            <w:vMerge w:val="restart"/>
            <w:vAlign w:val="center"/>
          </w:tcPr>
          <w:p w:rsidR="001E6C5C" w:rsidRPr="001E6C5C" w:rsidRDefault="001E6C5C" w:rsidP="001E6C5C">
            <w:pPr>
              <w:widowControl w:val="0"/>
              <w:suppressAutoHyphens/>
              <w:spacing w:line="288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1E6C5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Характеристика</w:t>
            </w:r>
          </w:p>
        </w:tc>
        <w:tc>
          <w:tcPr>
            <w:tcW w:w="6381" w:type="dxa"/>
            <w:vAlign w:val="center"/>
          </w:tcPr>
          <w:p w:rsidR="001E6C5C" w:rsidRPr="001E6C5C" w:rsidRDefault="001E6C5C" w:rsidP="001E6C5C">
            <w:pPr>
              <w:widowControl w:val="0"/>
              <w:suppressAutoHyphens/>
              <w:spacing w:line="288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1E6C5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Розмір шини</w:t>
            </w:r>
          </w:p>
        </w:tc>
      </w:tr>
      <w:tr w:rsidR="001E6C5C" w:rsidRPr="001E6C5C" w:rsidTr="00791A82">
        <w:tc>
          <w:tcPr>
            <w:tcW w:w="3190" w:type="dxa"/>
            <w:vMerge/>
            <w:vAlign w:val="center"/>
          </w:tcPr>
          <w:p w:rsidR="001E6C5C" w:rsidRPr="001E6C5C" w:rsidRDefault="001E6C5C" w:rsidP="001E6C5C">
            <w:pPr>
              <w:widowControl w:val="0"/>
              <w:suppressAutoHyphens/>
              <w:spacing w:line="288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</w:p>
        </w:tc>
        <w:tc>
          <w:tcPr>
            <w:tcW w:w="6381" w:type="dxa"/>
            <w:vAlign w:val="center"/>
          </w:tcPr>
          <w:p w:rsidR="001E6C5C" w:rsidRPr="001E6C5C" w:rsidRDefault="001E6C5C" w:rsidP="001E6C5C">
            <w:pPr>
              <w:widowControl w:val="0"/>
              <w:suppressAutoHyphens/>
              <w:spacing w:line="288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1E6C5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215/55R16</w:t>
            </w:r>
          </w:p>
        </w:tc>
      </w:tr>
      <w:tr w:rsidR="001E6C5C" w:rsidRPr="001E6C5C" w:rsidTr="00791A82">
        <w:tc>
          <w:tcPr>
            <w:tcW w:w="3190" w:type="dxa"/>
            <w:vAlign w:val="center"/>
          </w:tcPr>
          <w:p w:rsidR="001E6C5C" w:rsidRPr="001E6C5C" w:rsidRDefault="001E6C5C" w:rsidP="001E6C5C">
            <w:pPr>
              <w:widowControl w:val="0"/>
              <w:suppressAutoHyphens/>
              <w:spacing w:line="288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1E6C5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Конструкція шини</w:t>
            </w:r>
          </w:p>
        </w:tc>
        <w:tc>
          <w:tcPr>
            <w:tcW w:w="6381" w:type="dxa"/>
            <w:vAlign w:val="center"/>
          </w:tcPr>
          <w:p w:rsidR="001E6C5C" w:rsidRPr="001E6C5C" w:rsidRDefault="001E6C5C" w:rsidP="001E6C5C">
            <w:pPr>
              <w:widowControl w:val="0"/>
              <w:suppressAutoHyphens/>
              <w:spacing w:line="288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1E6C5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радіальна</w:t>
            </w:r>
          </w:p>
        </w:tc>
      </w:tr>
      <w:tr w:rsidR="001E6C5C" w:rsidRPr="001E6C5C" w:rsidTr="00791A82">
        <w:tc>
          <w:tcPr>
            <w:tcW w:w="3190" w:type="dxa"/>
            <w:vAlign w:val="center"/>
          </w:tcPr>
          <w:p w:rsidR="001E6C5C" w:rsidRPr="001E6C5C" w:rsidRDefault="001E6C5C" w:rsidP="001E6C5C">
            <w:pPr>
              <w:widowControl w:val="0"/>
              <w:suppressAutoHyphens/>
              <w:spacing w:line="288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1E6C5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Індекс навантаження</w:t>
            </w:r>
          </w:p>
        </w:tc>
        <w:tc>
          <w:tcPr>
            <w:tcW w:w="6381" w:type="dxa"/>
            <w:vAlign w:val="center"/>
          </w:tcPr>
          <w:p w:rsidR="001E6C5C" w:rsidRPr="001E6C5C" w:rsidRDefault="001E6C5C" w:rsidP="001E6C5C">
            <w:pPr>
              <w:widowControl w:val="0"/>
              <w:suppressAutoHyphens/>
              <w:spacing w:line="288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1E6C5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97</w:t>
            </w:r>
          </w:p>
        </w:tc>
      </w:tr>
      <w:tr w:rsidR="001E6C5C" w:rsidRPr="001E6C5C" w:rsidTr="00791A82">
        <w:tc>
          <w:tcPr>
            <w:tcW w:w="3190" w:type="dxa"/>
            <w:vAlign w:val="center"/>
          </w:tcPr>
          <w:p w:rsidR="001E6C5C" w:rsidRPr="001E6C5C" w:rsidRDefault="001E6C5C" w:rsidP="001E6C5C">
            <w:pPr>
              <w:widowControl w:val="0"/>
              <w:suppressAutoHyphens/>
              <w:spacing w:line="288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1E6C5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Індекс швидкості</w:t>
            </w:r>
          </w:p>
        </w:tc>
        <w:tc>
          <w:tcPr>
            <w:tcW w:w="6381" w:type="dxa"/>
            <w:vAlign w:val="center"/>
          </w:tcPr>
          <w:p w:rsidR="001E6C5C" w:rsidRPr="001E6C5C" w:rsidRDefault="001E6C5C" w:rsidP="001E6C5C">
            <w:pPr>
              <w:widowControl w:val="0"/>
              <w:suppressAutoHyphens/>
              <w:spacing w:line="288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1E6C5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V</w:t>
            </w:r>
          </w:p>
        </w:tc>
      </w:tr>
      <w:tr w:rsidR="001E6C5C" w:rsidRPr="001E6C5C" w:rsidTr="00791A82">
        <w:tc>
          <w:tcPr>
            <w:tcW w:w="3190" w:type="dxa"/>
            <w:vAlign w:val="center"/>
          </w:tcPr>
          <w:p w:rsidR="001E6C5C" w:rsidRPr="001E6C5C" w:rsidRDefault="001E6C5C" w:rsidP="001E6C5C">
            <w:pPr>
              <w:widowControl w:val="0"/>
              <w:suppressAutoHyphens/>
              <w:spacing w:line="288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1E6C5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Тип малюнка протектора</w:t>
            </w:r>
          </w:p>
        </w:tc>
        <w:tc>
          <w:tcPr>
            <w:tcW w:w="6381" w:type="dxa"/>
            <w:vAlign w:val="center"/>
          </w:tcPr>
          <w:p w:rsidR="001E6C5C" w:rsidRPr="001E6C5C" w:rsidRDefault="001E6C5C" w:rsidP="001E6C5C">
            <w:pPr>
              <w:widowControl w:val="0"/>
              <w:suppressAutoHyphens/>
              <w:spacing w:line="288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1E6C5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Кермова, літня</w:t>
            </w:r>
          </w:p>
        </w:tc>
      </w:tr>
      <w:tr w:rsidR="001E6C5C" w:rsidRPr="001E6C5C" w:rsidTr="00791A82">
        <w:trPr>
          <w:trHeight w:val="3891"/>
        </w:trPr>
        <w:tc>
          <w:tcPr>
            <w:tcW w:w="3190" w:type="dxa"/>
            <w:vAlign w:val="center"/>
          </w:tcPr>
          <w:p w:rsidR="001E6C5C" w:rsidRPr="001E6C5C" w:rsidRDefault="001E6C5C" w:rsidP="001E6C5C">
            <w:pPr>
              <w:widowControl w:val="0"/>
              <w:suppressAutoHyphens/>
              <w:spacing w:line="288" w:lineRule="auto"/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 w:rsidRPr="001E6C5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Малюнок протектора</w:t>
            </w:r>
          </w:p>
        </w:tc>
        <w:tc>
          <w:tcPr>
            <w:tcW w:w="6381" w:type="dxa"/>
            <w:vAlign w:val="center"/>
          </w:tcPr>
          <w:p w:rsidR="001E6C5C" w:rsidRPr="001E6C5C" w:rsidRDefault="001E6C5C" w:rsidP="00671291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sz w:val="28"/>
                <w:szCs w:val="28"/>
                <w:lang w:eastAsia="zh-CN" w:bidi="hi-IN"/>
              </w:rPr>
            </w:pPr>
            <w:r w:rsidRPr="001E6C5C">
              <w:rPr>
                <w:rFonts w:ascii="Times New Roman" w:eastAsia="DejaVu Sans" w:hAnsi="Times New Roman" w:cs="FreeSans"/>
                <w:noProof/>
                <w:color w:val="auto"/>
                <w:kern w:val="2"/>
                <w:sz w:val="24"/>
                <w:szCs w:val="24"/>
              </w:rPr>
              <w:drawing>
                <wp:inline distT="0" distB="0" distL="0" distR="0" wp14:anchorId="19203895" wp14:editId="042769E0">
                  <wp:extent cx="1584308" cy="2225020"/>
                  <wp:effectExtent l="0" t="0" r="0" b="4445"/>
                  <wp:docPr id="1" name="Рисунок 1" descr="https://www.garazh.ua/media/images/images/Nexen-N_Fera_SU1_Ap8nSZr.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razh.ua/media/images/images/Nexen-N_Fera_SU1_Ap8nSZr.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630" cy="222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291" w:rsidRPr="00671291" w:rsidRDefault="00671291" w:rsidP="00671291">
      <w:pPr>
        <w:widowControl w:val="0"/>
        <w:suppressAutoHyphens/>
        <w:spacing w:line="288" w:lineRule="auto"/>
        <w:rPr>
          <w:rFonts w:ascii="Times New Roman" w:eastAsia="DejaVu Sans" w:hAnsi="Times New Roman" w:cs="FreeSans"/>
          <w:color w:val="auto"/>
          <w:kern w:val="2"/>
          <w:sz w:val="16"/>
          <w:szCs w:val="16"/>
          <w:lang w:val="en-US" w:eastAsia="zh-CN" w:bidi="hi-IN"/>
        </w:rPr>
      </w:pPr>
    </w:p>
    <w:p w:rsidR="001E6C5C" w:rsidRDefault="00671291" w:rsidP="00671291">
      <w:pPr>
        <w:widowControl w:val="0"/>
        <w:suppressAutoHyphens/>
        <w:spacing w:line="288" w:lineRule="auto"/>
        <w:jc w:val="both"/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val="uk-UA" w:eastAsia="zh-CN" w:bidi="hi-IN"/>
        </w:rPr>
      </w:pPr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У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разі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будь-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якого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посилання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у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документації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Замовника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та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додатках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до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неї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на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конкретну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марку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чи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виробника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або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на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конкретний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процес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,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що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характеризує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продукт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чи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послугу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певного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суб’єкта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господарювання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, </w:t>
      </w:r>
      <w:proofErr w:type="spellStart"/>
      <w:proofErr w:type="gram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чи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на</w:t>
      </w:r>
      <w:proofErr w:type="gram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торгові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марки,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патенти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,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типи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або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конкретне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місце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походження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чи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спосіб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виробництва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, -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слід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вважати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в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наявності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вираз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«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або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еквівалент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».</w:t>
      </w:r>
    </w:p>
    <w:p w:rsidR="00671291" w:rsidRPr="00671291" w:rsidRDefault="00671291" w:rsidP="00671291">
      <w:pPr>
        <w:widowControl w:val="0"/>
        <w:suppressAutoHyphens/>
        <w:spacing w:line="288" w:lineRule="auto"/>
        <w:jc w:val="both"/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val="uk-UA" w:eastAsia="zh-CN" w:bidi="hi-IN"/>
        </w:rPr>
      </w:pPr>
    </w:p>
    <w:p w:rsidR="00671291" w:rsidRPr="001E6C5C" w:rsidRDefault="00671291" w:rsidP="00671291">
      <w:pPr>
        <w:widowControl w:val="0"/>
        <w:suppressAutoHyphens/>
        <w:spacing w:line="288" w:lineRule="auto"/>
        <w:jc w:val="center"/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</w:pPr>
      <w:r w:rsidRPr="00671291"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  <w:t>Вимоги до учасників:</w:t>
      </w:r>
    </w:p>
    <w:p w:rsidR="001E6C5C" w:rsidRPr="001E6C5C" w:rsidRDefault="001E6C5C" w:rsidP="00671291">
      <w:pPr>
        <w:widowControl w:val="0"/>
        <w:suppressAutoHyphens/>
        <w:spacing w:line="288" w:lineRule="auto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1.</w:t>
      </w:r>
      <w:r w:rsidR="00671291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Учасники процедури закупівлі повинні надати в складі тендерної пропозицій документи, які підтверджують відповідність товару тендерній пропозиції технічним, якісним вимогам до предмету закупівлі, а саме:</w:t>
      </w: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br/>
        <w:t>а) довідку в довільній формі з інформацією про походження об’єкту торгів, в якій зазначається:</w:t>
      </w: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br/>
        <w:t>- назва предмету закупівлі,</w:t>
      </w: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br/>
        <w:t>- назва Товару, що пропонується учасником,</w:t>
      </w: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br/>
        <w:t>- дані про виробника (назву та місце знаходження)</w:t>
      </w: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br/>
        <w:t>- підтвердження щодо відповідності запропонованого Товару вимогам технічного завдання Замовника.</w:t>
      </w: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br/>
      </w: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lastRenderedPageBreak/>
        <w:t>Якщо учасник пропонує еквівалент товару, він повинен в довідці надати дані щодо порівняння характеристик на відповідність пропонованого учасником Товару вимогам технічного завдання Замовника.</w:t>
      </w: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br/>
        <w:t>б) копії сертифікатів відповідності або паспортів якості/сертифікатів від виробників (завірені підписом уповноваженої особи учасника) або інших документів, які підтверджують якісні та технічні характеристики товару.</w:t>
      </w: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br/>
        <w:t>У разі якщо товар не підлягає обов’язковій сертифікації:</w:t>
      </w: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br/>
        <w:t>- довідку довільної форми з посиланнями на законодавчі акти про те, що товар не підлягає обов’язковій сертифікації в Україні;</w:t>
      </w:r>
    </w:p>
    <w:p w:rsidR="001E6C5C" w:rsidRPr="001E6C5C" w:rsidRDefault="001E6C5C" w:rsidP="001E6C5C">
      <w:pPr>
        <w:widowControl w:val="0"/>
        <w:suppressAutoHyphens/>
        <w:spacing w:line="288" w:lineRule="auto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2. Товар </w:t>
      </w:r>
      <w:proofErr w:type="gram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повинен</w:t>
      </w:r>
      <w:proofErr w:type="gram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бути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новим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.  Дата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виготовлення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–  2023 – 2024 </w:t>
      </w:r>
      <w:proofErr w:type="spellStart"/>
      <w:proofErr w:type="gram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р</w:t>
      </w:r>
      <w:proofErr w:type="gram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ік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;</w:t>
      </w:r>
    </w:p>
    <w:p w:rsidR="001E6C5C" w:rsidRPr="001E6C5C" w:rsidRDefault="001E6C5C" w:rsidP="001E6C5C">
      <w:pPr>
        <w:widowControl w:val="0"/>
        <w:suppressAutoHyphens/>
        <w:spacing w:line="288" w:lineRule="auto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3. У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випадку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,  якщо учасник пропонує аналог,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малюнок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протектора повинен бути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аналогічним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(однотипним</w:t>
      </w:r>
      <w:proofErr w:type="gram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)</w:t>
      </w:r>
      <w:proofErr w:type="gram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малюнку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протектора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шини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215/55R16 97V NFERA SU1 XL, з наданням малюнку протектора в довідці згідно п.1;</w:t>
      </w:r>
    </w:p>
    <w:p w:rsidR="001E6C5C" w:rsidRPr="001E6C5C" w:rsidRDefault="001E6C5C" w:rsidP="001E6C5C">
      <w:pPr>
        <w:widowControl w:val="0"/>
        <w:suppressAutoHyphens/>
        <w:spacing w:line="288" w:lineRule="auto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4.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Постачальник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за </w:t>
      </w:r>
      <w:proofErr w:type="spellStart"/>
      <w:proofErr w:type="gram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св</w:t>
      </w:r>
      <w:proofErr w:type="gram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ій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рахунок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забезпечує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поставку Товару на адресу  м. Полтава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вул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. Тролейбусна, 10 ;</w:t>
      </w:r>
    </w:p>
    <w:p w:rsidR="001E6C5C" w:rsidRPr="001E6C5C" w:rsidRDefault="001E6C5C" w:rsidP="001E6C5C">
      <w:pPr>
        <w:widowControl w:val="0"/>
        <w:suppressAutoHyphens/>
        <w:spacing w:line="288" w:lineRule="auto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5.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Гарантійний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термін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: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протягом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12 (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дванадцяти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)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місяців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proofErr w:type="gram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п</w:t>
      </w:r>
      <w:proofErr w:type="gram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ісля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передачі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Товару  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Замовнику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 при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дотриманні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умов і правил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експлуатації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по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даній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продукції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;</w:t>
      </w:r>
    </w:p>
    <w:p w:rsidR="001E6C5C" w:rsidRPr="001E6C5C" w:rsidRDefault="001E6C5C" w:rsidP="001E6C5C">
      <w:pPr>
        <w:widowControl w:val="0"/>
        <w:suppressAutoHyphens/>
        <w:spacing w:line="288" w:lineRule="auto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6. Тип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малюнку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протектора на весь предмет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закупі</w:t>
      </w:r>
      <w:proofErr w:type="gram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вл</w:t>
      </w:r>
      <w:proofErr w:type="gram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і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повинен бути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однаковий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(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однотипний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).</w:t>
      </w:r>
    </w:p>
    <w:p w:rsidR="001E6C5C" w:rsidRPr="001E6C5C" w:rsidRDefault="001E6C5C" w:rsidP="001E6C5C">
      <w:pPr>
        <w:widowControl w:val="0"/>
        <w:suppressAutoHyphens/>
        <w:spacing w:line="288" w:lineRule="auto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</w:p>
    <w:p w:rsidR="001E6C5C" w:rsidRPr="001E6C5C" w:rsidRDefault="001E6C5C" w:rsidP="001E6C5C">
      <w:pPr>
        <w:widowControl w:val="0"/>
        <w:suppressAutoHyphens/>
        <w:spacing w:line="288" w:lineRule="auto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Примітка *під аналогом вважається шина, яка має з вказаною моделлю (моделями) шини однакові (ідентичні) конструктивні особливості та характеристики:</w:t>
      </w:r>
    </w:p>
    <w:p w:rsidR="001E6C5C" w:rsidRPr="001E6C5C" w:rsidRDefault="001E6C5C" w:rsidP="001E6C5C">
      <w:pPr>
        <w:widowControl w:val="0"/>
        <w:suppressAutoHyphens/>
        <w:spacing w:line="288" w:lineRule="auto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- малюнок протектора;</w:t>
      </w:r>
    </w:p>
    <w:p w:rsidR="001E6C5C" w:rsidRPr="001E6C5C" w:rsidRDefault="001E6C5C" w:rsidP="001E6C5C">
      <w:pPr>
        <w:widowControl w:val="0"/>
        <w:suppressAutoHyphens/>
        <w:spacing w:line="288" w:lineRule="auto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- будову (конструкцію) корду;</w:t>
      </w:r>
    </w:p>
    <w:p w:rsidR="001E6C5C" w:rsidRPr="001E6C5C" w:rsidRDefault="001E6C5C" w:rsidP="001E6C5C">
      <w:pPr>
        <w:widowControl w:val="0"/>
        <w:suppressAutoHyphens/>
        <w:spacing w:line="288" w:lineRule="auto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- спосіб герметизації – однакові (або такі, які не погіршують властивості шини);</w:t>
      </w:r>
    </w:p>
    <w:p w:rsidR="001E6C5C" w:rsidRPr="001E6C5C" w:rsidRDefault="001E6C5C" w:rsidP="001E6C5C">
      <w:pPr>
        <w:widowControl w:val="0"/>
        <w:suppressAutoHyphens/>
        <w:spacing w:line="288" w:lineRule="auto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- кількість шарів (не менше ніж);</w:t>
      </w:r>
    </w:p>
    <w:p w:rsidR="001E6C5C" w:rsidRPr="001E6C5C" w:rsidRDefault="001E6C5C" w:rsidP="001E6C5C">
      <w:pPr>
        <w:widowControl w:val="0"/>
        <w:suppressAutoHyphens/>
        <w:spacing w:line="288" w:lineRule="auto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- вантажопідйомність (не менше ніж);</w:t>
      </w:r>
    </w:p>
    <w:p w:rsidR="001E6C5C" w:rsidRPr="001E6C5C" w:rsidRDefault="001E6C5C" w:rsidP="001E6C5C">
      <w:pPr>
        <w:widowControl w:val="0"/>
        <w:suppressAutoHyphens/>
        <w:spacing w:line="288" w:lineRule="auto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- індекс швидкості (не менше ніж)</w:t>
      </w:r>
    </w:p>
    <w:p w:rsidR="001E6C5C" w:rsidRPr="001E6C5C" w:rsidRDefault="001E6C5C" w:rsidP="001E6C5C">
      <w:pPr>
        <w:widowControl w:val="0"/>
        <w:suppressAutoHyphens/>
        <w:spacing w:line="288" w:lineRule="auto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</w:p>
    <w:p w:rsidR="001E6C5C" w:rsidRPr="001E6C5C" w:rsidRDefault="001E6C5C" w:rsidP="001E6C5C">
      <w:pPr>
        <w:widowControl w:val="0"/>
        <w:suppressAutoHyphens/>
        <w:spacing w:line="288" w:lineRule="auto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У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випадку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bookmarkStart w:id="0" w:name="_GoBack"/>
      <w:bookmarkEnd w:id="0"/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посилання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proofErr w:type="gram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техн</w:t>
      </w:r>
      <w:proofErr w:type="gram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ічних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вимог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на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конкретну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торговельну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марку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чи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фірму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, патент,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конструкцію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або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тип предмета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закупівлі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,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джерело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його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походження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або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виробника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, -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слід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вважати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в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наявності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вираз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«або аналог»,«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або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еквівалент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» .</w:t>
      </w:r>
    </w:p>
    <w:p w:rsidR="001E6C5C" w:rsidRPr="001E6C5C" w:rsidRDefault="001E6C5C" w:rsidP="001E6C5C">
      <w:pPr>
        <w:widowControl w:val="0"/>
        <w:suppressAutoHyphens/>
        <w:spacing w:line="288" w:lineRule="auto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У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випадку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надання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учасником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аналогу або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еквіваленту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,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він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має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надати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порівняльну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таблицю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запропонованих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товарів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/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послуг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з товарами/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послугами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,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які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вимагаються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Замовником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.</w:t>
      </w:r>
    </w:p>
    <w:p w:rsidR="001E6C5C" w:rsidRPr="001E6C5C" w:rsidRDefault="001E6C5C" w:rsidP="001E6C5C">
      <w:pPr>
        <w:widowControl w:val="0"/>
        <w:suppressAutoHyphens/>
        <w:spacing w:line="288" w:lineRule="auto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Усі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показники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аналогу,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еквіваленту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до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зазначеної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моделі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мають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відповідати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характеристикам товару,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зазначеного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у </w:t>
      </w:r>
      <w:proofErr w:type="spellStart"/>
      <w:proofErr w:type="gram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техн</w:t>
      </w:r>
      <w:proofErr w:type="gram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ічному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завданні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та бути не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гіршими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(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погіршувати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) </w:t>
      </w:r>
      <w:proofErr w:type="spellStart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наведені</w:t>
      </w:r>
      <w:proofErr w:type="spellEnd"/>
      <w:r w:rsidRPr="001E6C5C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характеристики .</w:t>
      </w:r>
    </w:p>
    <w:p w:rsidR="00FF2772" w:rsidRPr="00E7034E" w:rsidRDefault="00FF2772" w:rsidP="00FF277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FF2772" w:rsidRDefault="00FF2772" w:rsidP="00FF2772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</w:p>
    <w:sectPr w:rsidR="00FF2772" w:rsidSect="009469B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FreeSans">
    <w:altName w:val="Arial"/>
    <w:charset w:val="CC"/>
    <w:family w:val="swiss"/>
    <w:pitch w:val="variable"/>
    <w:sig w:usb0="00000000" w:usb1="4000E17F" w:usb2="0000102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7264"/>
    <w:multiLevelType w:val="multilevel"/>
    <w:tmpl w:val="A2CE5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72"/>
    <w:rsid w:val="00011BFE"/>
    <w:rsid w:val="0001783C"/>
    <w:rsid w:val="000831D6"/>
    <w:rsid w:val="0008465D"/>
    <w:rsid w:val="00145778"/>
    <w:rsid w:val="001B6971"/>
    <w:rsid w:val="001C4967"/>
    <w:rsid w:val="001E6C5C"/>
    <w:rsid w:val="00202010"/>
    <w:rsid w:val="00217DF6"/>
    <w:rsid w:val="00236146"/>
    <w:rsid w:val="00244008"/>
    <w:rsid w:val="002F7F9C"/>
    <w:rsid w:val="003125E0"/>
    <w:rsid w:val="003947C2"/>
    <w:rsid w:val="00396937"/>
    <w:rsid w:val="003A304F"/>
    <w:rsid w:val="003B05FB"/>
    <w:rsid w:val="003E6F4E"/>
    <w:rsid w:val="004354CB"/>
    <w:rsid w:val="004C4E62"/>
    <w:rsid w:val="004E155D"/>
    <w:rsid w:val="004E30D2"/>
    <w:rsid w:val="004F6A85"/>
    <w:rsid w:val="00505EB0"/>
    <w:rsid w:val="0050622D"/>
    <w:rsid w:val="00566385"/>
    <w:rsid w:val="005E73F7"/>
    <w:rsid w:val="00646E6E"/>
    <w:rsid w:val="0067014B"/>
    <w:rsid w:val="00671291"/>
    <w:rsid w:val="0068429B"/>
    <w:rsid w:val="006F7F2D"/>
    <w:rsid w:val="007157A5"/>
    <w:rsid w:val="00775772"/>
    <w:rsid w:val="00844F47"/>
    <w:rsid w:val="008A777A"/>
    <w:rsid w:val="008B56EF"/>
    <w:rsid w:val="0091254C"/>
    <w:rsid w:val="009469B1"/>
    <w:rsid w:val="009B3D70"/>
    <w:rsid w:val="009E1D4B"/>
    <w:rsid w:val="00A4792F"/>
    <w:rsid w:val="00B35148"/>
    <w:rsid w:val="00BB23D0"/>
    <w:rsid w:val="00CA1790"/>
    <w:rsid w:val="00DB1C44"/>
    <w:rsid w:val="00DF25A4"/>
    <w:rsid w:val="00E15AF5"/>
    <w:rsid w:val="00E37226"/>
    <w:rsid w:val="00E80B07"/>
    <w:rsid w:val="00F14FEC"/>
    <w:rsid w:val="00F46AB7"/>
    <w:rsid w:val="00FB6AF6"/>
    <w:rsid w:val="00FD197F"/>
    <w:rsid w:val="00FE2A4E"/>
    <w:rsid w:val="00FF2772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7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qFormat/>
    <w:rsid w:val="00F14FEC"/>
  </w:style>
  <w:style w:type="paragraph" w:styleId="a3">
    <w:name w:val="Balloon Text"/>
    <w:basedOn w:val="a"/>
    <w:link w:val="a4"/>
    <w:uiPriority w:val="99"/>
    <w:semiHidden/>
    <w:unhideWhenUsed/>
    <w:rsid w:val="00F14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EC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56E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7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qFormat/>
    <w:rsid w:val="00F14FEC"/>
  </w:style>
  <w:style w:type="paragraph" w:styleId="a3">
    <w:name w:val="Balloon Text"/>
    <w:basedOn w:val="a"/>
    <w:link w:val="a4"/>
    <w:uiPriority w:val="99"/>
    <w:semiHidden/>
    <w:unhideWhenUsed/>
    <w:rsid w:val="00F14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EC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56E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13</cp:revision>
  <cp:lastPrinted>2024-02-15T13:00:00Z</cp:lastPrinted>
  <dcterms:created xsi:type="dcterms:W3CDTF">2023-10-23T13:37:00Z</dcterms:created>
  <dcterms:modified xsi:type="dcterms:W3CDTF">2024-02-23T13:47:00Z</dcterms:modified>
</cp:coreProperties>
</file>