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5C88" w14:textId="6F3F631A" w:rsidR="002B7005" w:rsidRPr="00E150E0" w:rsidRDefault="002B7005" w:rsidP="002B7005">
      <w:pPr>
        <w:tabs>
          <w:tab w:val="left" w:pos="2040"/>
        </w:tabs>
        <w:spacing w:after="0"/>
        <w:ind w:firstLine="567"/>
        <w:jc w:val="right"/>
        <w:rPr>
          <w:rFonts w:ascii="Times New Roman" w:hAnsi="Times New Roman" w:cs="Times New Roman"/>
          <w:b/>
        </w:rPr>
      </w:pPr>
      <w:r w:rsidRPr="00E150E0">
        <w:rPr>
          <w:rFonts w:ascii="Times New Roman" w:hAnsi="Times New Roman" w:cs="Times New Roman"/>
          <w:b/>
        </w:rPr>
        <w:t xml:space="preserve">Додаток 2 </w:t>
      </w:r>
    </w:p>
    <w:p w14:paraId="6DC9CCC3" w14:textId="452419F0" w:rsidR="002B7005" w:rsidRPr="00E150E0" w:rsidRDefault="002B7005" w:rsidP="002B7005">
      <w:pPr>
        <w:tabs>
          <w:tab w:val="left" w:pos="2040"/>
        </w:tabs>
        <w:spacing w:after="0"/>
        <w:ind w:firstLine="567"/>
        <w:jc w:val="right"/>
        <w:rPr>
          <w:rFonts w:ascii="Times New Roman" w:hAnsi="Times New Roman" w:cs="Times New Roman"/>
          <w:b/>
        </w:rPr>
      </w:pPr>
      <w:r w:rsidRPr="00E150E0">
        <w:rPr>
          <w:rFonts w:ascii="Times New Roman" w:hAnsi="Times New Roman" w:cs="Times New Roman"/>
          <w:b/>
        </w:rPr>
        <w:t>до тендерної документації</w:t>
      </w:r>
    </w:p>
    <w:p w14:paraId="1503D40C" w14:textId="4EEA8B41" w:rsidR="002B7005" w:rsidRPr="00E150E0" w:rsidRDefault="002B7005" w:rsidP="002B7005">
      <w:pPr>
        <w:tabs>
          <w:tab w:val="left" w:pos="2040"/>
        </w:tabs>
        <w:spacing w:after="0"/>
        <w:ind w:firstLine="567"/>
        <w:jc w:val="right"/>
        <w:rPr>
          <w:rFonts w:ascii="Times New Roman" w:hAnsi="Times New Roman" w:cs="Times New Roman"/>
          <w:b/>
        </w:rPr>
      </w:pPr>
    </w:p>
    <w:p w14:paraId="16ED0D9D" w14:textId="77713C9D" w:rsidR="002B7005" w:rsidRPr="00E150E0" w:rsidRDefault="002B7005" w:rsidP="002B7005">
      <w:pPr>
        <w:tabs>
          <w:tab w:val="left" w:pos="2040"/>
        </w:tabs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E150E0">
        <w:rPr>
          <w:rFonts w:ascii="Times New Roman" w:hAnsi="Times New Roman" w:cs="Times New Roman"/>
          <w:b/>
        </w:rPr>
        <w:t>ТЕХНІЧНЕ ЗАВДАННЯ</w:t>
      </w:r>
    </w:p>
    <w:p w14:paraId="4E2F48F9" w14:textId="69C36246" w:rsidR="002B7005" w:rsidRPr="00E150E0" w:rsidRDefault="002B7005" w:rsidP="002B7005">
      <w:pPr>
        <w:tabs>
          <w:tab w:val="left" w:pos="2040"/>
        </w:tabs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E150E0">
        <w:rPr>
          <w:rFonts w:ascii="Times New Roman" w:hAnsi="Times New Roman" w:cs="Times New Roman"/>
          <w:b/>
        </w:rPr>
        <w:t xml:space="preserve">предмет закупівлі </w:t>
      </w:r>
      <w:bookmarkStart w:id="0" w:name="_Hlk140593260"/>
      <w:r w:rsidRPr="00E150E0">
        <w:rPr>
          <w:rFonts w:ascii="Times New Roman" w:hAnsi="Times New Roman" w:cs="Times New Roman"/>
          <w:b/>
        </w:rPr>
        <w:t>«код ДК 021:2015 33690000-3 «Лікарські засоби різні» (</w:t>
      </w:r>
      <w:r w:rsidR="00A163ED" w:rsidRPr="00E150E0">
        <w:rPr>
          <w:rFonts w:ascii="Times New Roman" w:hAnsi="Times New Roman" w:cs="Times New Roman"/>
          <w:b/>
        </w:rPr>
        <w:t>30591 Набір реагентів для вимірювання протромбінового часу (ПЧ) IVD (діагностика in vitro ); 55987 Тромбіновий час IVD (діагностика in vitro ), набір, аналіз утворення згустку; 55981 Активований частковий тромбопластиновий час IVD (діагностика in vitro ), набір, аналіз утворення згустку; 61165 Реагент для лізису клітин крові IVD (діагностика in vitro ); 63377 Засіб для очищення приладу/ аналізатора IVD (діагностика in vitro ); 58237 Буферний розчинник зразків IVD (діагностика in vitro ), автоматичні/напівавтоматичні системи; 55866 Підрахунок клітин крові IVD (діагностика in vitro ), контрольний матеріал; 63377 Засіб для очищення приладу/ аналізатора IVD (діагностика in vitro ); 61032 Кювета для лабораторного аналізатора IVD (діагностика in vitro ) одноразового використання; 61389 D-димер ІВД, набір, імунофлюоресцентний аналіз; 54313 Прокальцитонін IVD, набір, імунофлюоресцентний аналіз; 53997 Тропонін Т / Тропонін I IVD, набір, флюоресцентний імунологічний аналіз; 51815  Treponema pallidum, антитіла класу імуноглобулін G (IgG) та імуноглобулін M (IgM), набір, імуноферментний аналіз (ІФА); 53316 Глікозильований гемоглобін (HbA1c) IVD, реагент; 44435 Контрольний матеріал для визначення глікованого гемоглобіну (HbA1c), IVD (діагностика in vitro); 48365    Вірус гепатиту C загальні антитіла IVD,набір,  імуноферментний аналіз (ІФА); 48319 Вірус гепатиту B, поверхневий антиген IVD (діагностика in vitro ), набір, імуноферментний аналіз (ІФА)</w:t>
      </w:r>
      <w:r w:rsidRPr="00E150E0">
        <w:rPr>
          <w:rFonts w:ascii="Times New Roman" w:hAnsi="Times New Roman" w:cs="Times New Roman"/>
          <w:b/>
        </w:rPr>
        <w:t>)»</w:t>
      </w:r>
      <w:bookmarkEnd w:id="0"/>
    </w:p>
    <w:p w14:paraId="10BC9777" w14:textId="3364E694" w:rsidR="002B7005" w:rsidRPr="00E150E0" w:rsidRDefault="002B7005" w:rsidP="004C3D2B">
      <w:pPr>
        <w:tabs>
          <w:tab w:val="left" w:pos="2040"/>
        </w:tabs>
        <w:ind w:firstLine="567"/>
        <w:jc w:val="both"/>
        <w:rPr>
          <w:rFonts w:ascii="Times New Roman" w:hAnsi="Times New Roman" w:cs="Times New Roman"/>
        </w:rPr>
      </w:pPr>
    </w:p>
    <w:p w14:paraId="40EE8F89" w14:textId="25B2FBB5" w:rsidR="002B7005" w:rsidRPr="00E150E0" w:rsidRDefault="002B7005" w:rsidP="004C3D2B">
      <w:pPr>
        <w:tabs>
          <w:tab w:val="left" w:pos="204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0E0">
        <w:rPr>
          <w:rFonts w:ascii="Times New Roman" w:hAnsi="Times New Roman" w:cs="Times New Roman"/>
          <w:b/>
          <w:sz w:val="24"/>
          <w:szCs w:val="24"/>
          <w:u w:val="single"/>
        </w:rPr>
        <w:t>Загальні вимоги:</w:t>
      </w:r>
    </w:p>
    <w:p w14:paraId="2F40D3AD" w14:textId="77777777" w:rsidR="004C3D2B" w:rsidRPr="00E150E0" w:rsidRDefault="004C3D2B" w:rsidP="00A163ED">
      <w:pPr>
        <w:tabs>
          <w:tab w:val="left" w:pos="2040"/>
        </w:tabs>
        <w:spacing w:after="0"/>
        <w:ind w:left="-567" w:firstLine="1134"/>
        <w:jc w:val="both"/>
        <w:rPr>
          <w:rFonts w:ascii="Times New Roman" w:hAnsi="Times New Roman" w:cs="Times New Roman"/>
        </w:rPr>
      </w:pPr>
      <w:r w:rsidRPr="00E150E0">
        <w:rPr>
          <w:rFonts w:ascii="Times New Roman" w:hAnsi="Times New Roman" w:cs="Times New Roman"/>
        </w:rPr>
        <w:t xml:space="preserve">1. Товар, запропонований Учасником, повинен бути внесений до Державного реєстру медичної техніки та медичних виробів та/або введений в обіг відповідно до законодавства у сфері технічного регулювання та оцінки відповідності, у передбаченому законодавством порядку. </w:t>
      </w:r>
    </w:p>
    <w:p w14:paraId="65055F4C" w14:textId="753CAFA4" w:rsidR="004C3D2B" w:rsidRPr="00E150E0" w:rsidRDefault="004C3D2B" w:rsidP="00A163ED">
      <w:pPr>
        <w:tabs>
          <w:tab w:val="left" w:pos="2040"/>
        </w:tabs>
        <w:spacing w:after="0"/>
        <w:ind w:left="-567" w:firstLine="1134"/>
        <w:jc w:val="both"/>
        <w:rPr>
          <w:rFonts w:ascii="Times New Roman" w:hAnsi="Times New Roman" w:cs="Times New Roman"/>
        </w:rPr>
      </w:pPr>
      <w:r w:rsidRPr="00E150E0">
        <w:rPr>
          <w:rFonts w:ascii="Times New Roman" w:hAnsi="Times New Roman" w:cs="Times New Roman"/>
        </w:rPr>
        <w:t xml:space="preserve">На підтвердження Учасник у складі </w:t>
      </w:r>
      <w:r w:rsidR="002B7005" w:rsidRPr="00E150E0">
        <w:rPr>
          <w:rFonts w:ascii="Times New Roman" w:hAnsi="Times New Roman" w:cs="Times New Roman"/>
        </w:rPr>
        <w:t xml:space="preserve">тендерної </w:t>
      </w:r>
      <w:r w:rsidRPr="00E150E0">
        <w:rPr>
          <w:rFonts w:ascii="Times New Roman" w:hAnsi="Times New Roman" w:cs="Times New Roman"/>
        </w:rPr>
        <w:t>пропозиції повинен надати копі</w:t>
      </w:r>
      <w:r w:rsidR="002B7005" w:rsidRPr="00E150E0">
        <w:rPr>
          <w:rFonts w:ascii="Times New Roman" w:hAnsi="Times New Roman" w:cs="Times New Roman"/>
        </w:rPr>
        <w:t>ї</w:t>
      </w:r>
      <w:r w:rsidRPr="00E150E0">
        <w:rPr>
          <w:rFonts w:ascii="Times New Roman" w:hAnsi="Times New Roman" w:cs="Times New Roman"/>
        </w:rPr>
        <w:t xml:space="preserve"> деклараці</w:t>
      </w:r>
      <w:r w:rsidR="002B7005" w:rsidRPr="00E150E0">
        <w:rPr>
          <w:rFonts w:ascii="Times New Roman" w:hAnsi="Times New Roman" w:cs="Times New Roman"/>
        </w:rPr>
        <w:t>й</w:t>
      </w:r>
      <w:r w:rsidRPr="00E150E0">
        <w:rPr>
          <w:rFonts w:ascii="Times New Roman" w:hAnsi="Times New Roman" w:cs="Times New Roman"/>
        </w:rPr>
        <w:t xml:space="preserve"> або копі</w:t>
      </w:r>
      <w:r w:rsidR="002B7005" w:rsidRPr="00E150E0">
        <w:rPr>
          <w:rFonts w:ascii="Times New Roman" w:hAnsi="Times New Roman" w:cs="Times New Roman"/>
        </w:rPr>
        <w:t>ї</w:t>
      </w:r>
      <w:r w:rsidRPr="00E150E0">
        <w:rPr>
          <w:rFonts w:ascii="Times New Roman" w:hAnsi="Times New Roman" w:cs="Times New Roman"/>
        </w:rPr>
        <w:t xml:space="preserve"> документів, що підтверджують можливість введення в обіг та/або експлуатацію (застосування) медичн</w:t>
      </w:r>
      <w:r w:rsidR="002B7005" w:rsidRPr="00E150E0">
        <w:rPr>
          <w:rFonts w:ascii="Times New Roman" w:hAnsi="Times New Roman" w:cs="Times New Roman"/>
        </w:rPr>
        <w:t>их</w:t>
      </w:r>
      <w:r w:rsidRPr="00E150E0">
        <w:rPr>
          <w:rFonts w:ascii="Times New Roman" w:hAnsi="Times New Roman" w:cs="Times New Roman"/>
        </w:rPr>
        <w:t xml:space="preserve"> вироб</w:t>
      </w:r>
      <w:r w:rsidR="002B7005" w:rsidRPr="00E150E0">
        <w:rPr>
          <w:rFonts w:ascii="Times New Roman" w:hAnsi="Times New Roman" w:cs="Times New Roman"/>
        </w:rPr>
        <w:t>ів</w:t>
      </w:r>
      <w:r w:rsidRPr="00E150E0">
        <w:rPr>
          <w:rFonts w:ascii="Times New Roman" w:hAnsi="Times New Roman" w:cs="Times New Roman"/>
        </w:rPr>
        <w:t xml:space="preserve"> за результатами проходження процедури оцінки відповідності згідно вимог технічного регламенту. </w:t>
      </w:r>
    </w:p>
    <w:p w14:paraId="1A25E371" w14:textId="496E7303" w:rsidR="004C3D2B" w:rsidRPr="00E150E0" w:rsidRDefault="004C3D2B" w:rsidP="00A163ED">
      <w:pPr>
        <w:tabs>
          <w:tab w:val="left" w:pos="2040"/>
        </w:tabs>
        <w:spacing w:after="0"/>
        <w:ind w:left="-567" w:firstLine="1134"/>
        <w:jc w:val="both"/>
        <w:rPr>
          <w:rFonts w:ascii="Times New Roman" w:hAnsi="Times New Roman" w:cs="Times New Roman"/>
        </w:rPr>
      </w:pPr>
      <w:r w:rsidRPr="00E150E0">
        <w:rPr>
          <w:rFonts w:ascii="Times New Roman" w:hAnsi="Times New Roman" w:cs="Times New Roman"/>
        </w:rPr>
        <w:t>2. Залишковий термін придатності товару на момент постачання  повинен складати не менше ніж 80% загального терміну їх зберігання</w:t>
      </w:r>
      <w:r w:rsidR="002B7005" w:rsidRPr="00E150E0">
        <w:rPr>
          <w:rFonts w:ascii="Times New Roman" w:hAnsi="Times New Roman" w:cs="Times New Roman"/>
        </w:rPr>
        <w:t>.</w:t>
      </w:r>
    </w:p>
    <w:p w14:paraId="3A93310E" w14:textId="07BC745B" w:rsidR="004C3D2B" w:rsidRPr="00E150E0" w:rsidRDefault="004C3D2B" w:rsidP="00A163ED">
      <w:pPr>
        <w:tabs>
          <w:tab w:val="left" w:pos="2040"/>
        </w:tabs>
        <w:spacing w:after="0"/>
        <w:ind w:left="-567" w:firstLine="1134"/>
        <w:jc w:val="both"/>
        <w:rPr>
          <w:rFonts w:ascii="Times New Roman" w:hAnsi="Times New Roman" w:cs="Times New Roman"/>
        </w:rPr>
      </w:pPr>
      <w:r w:rsidRPr="00E150E0">
        <w:rPr>
          <w:rFonts w:ascii="Times New Roman" w:hAnsi="Times New Roman" w:cs="Times New Roman"/>
        </w:rPr>
        <w:t>На підтвердження Учасник у складі</w:t>
      </w:r>
      <w:r w:rsidR="002B7005" w:rsidRPr="00E150E0">
        <w:rPr>
          <w:rFonts w:ascii="Times New Roman" w:hAnsi="Times New Roman" w:cs="Times New Roman"/>
        </w:rPr>
        <w:t xml:space="preserve"> тендерної</w:t>
      </w:r>
      <w:r w:rsidRPr="00E150E0">
        <w:rPr>
          <w:rFonts w:ascii="Times New Roman" w:hAnsi="Times New Roman" w:cs="Times New Roman"/>
        </w:rPr>
        <w:t xml:space="preserve"> пропозиції повинен надати гарантійний лист.</w:t>
      </w:r>
    </w:p>
    <w:p w14:paraId="3BCDB91B" w14:textId="589E6C1B" w:rsidR="004C3D2B" w:rsidRPr="00E150E0" w:rsidRDefault="004C3D2B" w:rsidP="00A163ED">
      <w:pPr>
        <w:tabs>
          <w:tab w:val="left" w:pos="2040"/>
        </w:tabs>
        <w:spacing w:after="0"/>
        <w:ind w:left="-567" w:firstLine="1134"/>
        <w:jc w:val="both"/>
        <w:rPr>
          <w:rFonts w:ascii="Times New Roman" w:hAnsi="Times New Roman" w:cs="Times New Roman"/>
        </w:rPr>
      </w:pPr>
      <w:r w:rsidRPr="00E150E0">
        <w:rPr>
          <w:rFonts w:ascii="Times New Roman" w:hAnsi="Times New Roman" w:cs="Times New Roman"/>
        </w:rPr>
        <w:t>3. З метою запобігання закупівлі фальсифікатів та отримання гарантій на своєчасне постачання товару у кількості, якості та строками придатності, учасник надає оригінал гарантійного листа від виробника (представництва, філії виробника, якщо їх відповідн</w:t>
      </w:r>
      <w:r w:rsidR="002B7005" w:rsidRPr="00E150E0">
        <w:rPr>
          <w:rFonts w:ascii="Times New Roman" w:hAnsi="Times New Roman" w:cs="Times New Roman"/>
        </w:rPr>
        <w:t>і</w:t>
      </w:r>
      <w:r w:rsidRPr="00E150E0">
        <w:rPr>
          <w:rFonts w:ascii="Times New Roman" w:hAnsi="Times New Roman" w:cs="Times New Roman"/>
        </w:rPr>
        <w:t xml:space="preserve"> повноваження поширюються на територію України), чи іншого уповноваженого на це виробником (з документальним підтвердженням такого), яким підтверджується можливість поставки товару, який є предметом </w:t>
      </w:r>
      <w:r w:rsidR="00A216AB" w:rsidRPr="00E150E0">
        <w:rPr>
          <w:rFonts w:ascii="Times New Roman" w:hAnsi="Times New Roman" w:cs="Times New Roman"/>
        </w:rPr>
        <w:t xml:space="preserve">цієї </w:t>
      </w:r>
      <w:r w:rsidRPr="00E150E0">
        <w:rPr>
          <w:rFonts w:ascii="Times New Roman" w:hAnsi="Times New Roman" w:cs="Times New Roman"/>
        </w:rPr>
        <w:t xml:space="preserve">закупівлі, у кількості, зі строками придатності та в терміни, визначені цією документацією та пропозицією учасника. Гарантійний лист повинен включати дату та номер оголошення, оприлюдненого на веб-порталі Уповноваженого органу, а також назву предмету закупівлі згідно оголошення та назву Замовника. Якщо гарантійний лист виданий представництвом чи філією виробника, то учасник повинен в складі </w:t>
      </w:r>
      <w:r w:rsidR="00A216AB" w:rsidRPr="00E150E0">
        <w:rPr>
          <w:rFonts w:ascii="Times New Roman" w:hAnsi="Times New Roman" w:cs="Times New Roman"/>
        </w:rPr>
        <w:t xml:space="preserve">тендерної </w:t>
      </w:r>
      <w:r w:rsidRPr="00E150E0">
        <w:rPr>
          <w:rFonts w:ascii="Times New Roman" w:hAnsi="Times New Roman" w:cs="Times New Roman"/>
        </w:rPr>
        <w:t>пропозиції надати документальне підтвердження таких повноважень, наданих виробником товару.</w:t>
      </w:r>
    </w:p>
    <w:p w14:paraId="4163B0CB" w14:textId="77777777" w:rsidR="00A163ED" w:rsidRPr="00E150E0" w:rsidRDefault="00A163ED" w:rsidP="004740A5">
      <w:pPr>
        <w:tabs>
          <w:tab w:val="left" w:pos="204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</w:p>
    <w:p w14:paraId="5E432489" w14:textId="083FDAF5" w:rsidR="004C3D2B" w:rsidRPr="00E150E0" w:rsidRDefault="00A216AB" w:rsidP="004740A5">
      <w:pPr>
        <w:tabs>
          <w:tab w:val="left" w:pos="204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r w:rsidRPr="00E150E0">
        <w:rPr>
          <w:rFonts w:ascii="Times New Roman" w:hAnsi="Times New Roman" w:cs="Times New Roman"/>
          <w:b/>
          <w:bCs/>
          <w:u w:val="single"/>
        </w:rPr>
        <w:t>Медико-технічні характеристики:</w:t>
      </w:r>
    </w:p>
    <w:p w14:paraId="14BF93A4" w14:textId="77777777" w:rsidR="004D252B" w:rsidRPr="00E150E0" w:rsidRDefault="004D252B" w:rsidP="004740A5">
      <w:pPr>
        <w:tabs>
          <w:tab w:val="left" w:pos="204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a3"/>
        <w:tblW w:w="133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1"/>
        <w:gridCol w:w="2111"/>
        <w:gridCol w:w="1843"/>
        <w:gridCol w:w="4961"/>
        <w:gridCol w:w="851"/>
        <w:gridCol w:w="709"/>
        <w:gridCol w:w="2474"/>
      </w:tblGrid>
      <w:tr w:rsidR="00A163ED" w:rsidRPr="00E150E0" w14:paraId="0362F476" w14:textId="77777777" w:rsidTr="00A163ED">
        <w:trPr>
          <w:gridAfter w:val="1"/>
          <w:wAfter w:w="247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9C5F" w14:textId="77777777" w:rsidR="00A163ED" w:rsidRPr="00E150E0" w:rsidRDefault="00A163ED" w:rsidP="004F4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B038" w14:textId="77777777" w:rsidR="00A163ED" w:rsidRPr="00E150E0" w:rsidRDefault="00A163ED" w:rsidP="004F4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за  НК 024:2023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27AB" w14:textId="77777777" w:rsidR="00A163ED" w:rsidRPr="00E150E0" w:rsidRDefault="00A163ED" w:rsidP="004F4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 товару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7E00" w14:textId="77777777" w:rsidR="00A163ED" w:rsidRPr="00E150E0" w:rsidRDefault="00A163ED" w:rsidP="004F4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Медико-технічні вимоги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864B" w14:textId="77777777" w:rsidR="00A163ED" w:rsidRPr="00E150E0" w:rsidRDefault="00A163ED" w:rsidP="004F4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A461" w14:textId="77777777" w:rsidR="00A163ED" w:rsidRPr="00E150E0" w:rsidRDefault="00A163ED" w:rsidP="004F4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К-ть</w:t>
            </w:r>
          </w:p>
        </w:tc>
      </w:tr>
      <w:tr w:rsidR="00A163ED" w:rsidRPr="00E150E0" w14:paraId="28667756" w14:textId="77777777" w:rsidTr="00A163ED">
        <w:trPr>
          <w:gridAfter w:val="1"/>
          <w:wAfter w:w="247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0C0B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FA5D0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30591</w:t>
            </w:r>
          </w:p>
          <w:p w14:paraId="5F68EFA8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Набір реагентів для</w:t>
            </w:r>
          </w:p>
          <w:p w14:paraId="57BEEABA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вимірювання</w:t>
            </w:r>
          </w:p>
          <w:p w14:paraId="523FD496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протромбінового часу</w:t>
            </w:r>
          </w:p>
          <w:p w14:paraId="75CB515C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(ПЧ) IVD (діагностика in</w:t>
            </w:r>
          </w:p>
          <w:p w14:paraId="13FD3295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vitro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A30DA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Протромбіновий час, рідкий Dia-PT liquid</w:t>
            </w:r>
          </w:p>
          <w:p w14:paraId="17811A47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або еквівалент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9CBAA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Фасування: 6х2 мл.</w:t>
            </w:r>
          </w:p>
          <w:p w14:paraId="1467299A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Набір повинен бути рідким, готовим до використання, призначеним для визначення протромбінового часу, а також факторів II, V, VII і X.</w:t>
            </w:r>
          </w:p>
          <w:p w14:paraId="54B3C18D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Кількість реагенту на 1 дослідження: не більш як 100 мкл.</w:t>
            </w:r>
          </w:p>
          <w:p w14:paraId="0F151871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 xml:space="preserve">Відкриті флакони повинні бути стабільні протягом не </w:t>
            </w:r>
            <w:r w:rsidRPr="00E150E0">
              <w:rPr>
                <w:color w:val="000000"/>
                <w:sz w:val="20"/>
                <w:szCs w:val="20"/>
              </w:rPr>
              <w:lastRenderedPageBreak/>
              <w:t>менш як 12 днів за температури 2-8°С.</w:t>
            </w:r>
          </w:p>
          <w:p w14:paraId="37574ED7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Доступні межі інтерференцій: гепарин ≤ 0,75 МО/мл, гемоглобін ≤ 6,8 г/л, тригліцериди ≤ 8 ммоль/л, білірубін ≤ 270 мкмоль/л.</w:t>
            </w:r>
          </w:p>
          <w:p w14:paraId="2B7852E4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Точність у межах аналізу: CV&lt;0,6%.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C4ED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989C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163ED" w:rsidRPr="00E150E0" w14:paraId="69BC9F8B" w14:textId="77777777" w:rsidTr="00A163ED">
        <w:trPr>
          <w:gridAfter w:val="1"/>
          <w:wAfter w:w="247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E38C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272BC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55987</w:t>
            </w:r>
          </w:p>
          <w:p w14:paraId="7DE88051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Тромбіновий час IVD</w:t>
            </w:r>
          </w:p>
          <w:p w14:paraId="5B8FA473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(діагностика in vitro ),</w:t>
            </w:r>
          </w:p>
          <w:p w14:paraId="30A4C7BD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набір, аналіз утворення</w:t>
            </w:r>
          </w:p>
          <w:p w14:paraId="3C8F7015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згустку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BA7F9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Тромбіновий час Dia-TT</w:t>
            </w:r>
          </w:p>
          <w:p w14:paraId="50F7ED33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або еквівалент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38D07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Фасування: 12х3 мл.</w:t>
            </w:r>
          </w:p>
          <w:p w14:paraId="6A5614AA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Набір повинен бути ліофілізованим, придатним для розчинення дистильованою водою, використання, призначеним для кількісного визначення тромбінового часу.</w:t>
            </w:r>
          </w:p>
          <w:p w14:paraId="0363B6C5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Кількість розчиненого реагенту на 1 дослідження: не більш як 100 мкл.</w:t>
            </w:r>
          </w:p>
          <w:p w14:paraId="23676475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Відкриті флакони повинні бути стабільні протягом не менш як 15 днів за температури 2-8°С.</w:t>
            </w:r>
          </w:p>
          <w:p w14:paraId="50859B85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Доступні межі інтерференцій: гемоглобін ≤ 3,4 г/л; тригліцерид ≤ 4 ммоль/л; білірубін ≤ 240 мкмоль/л.</w:t>
            </w:r>
          </w:p>
          <w:p w14:paraId="30AC0DF1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Точність у межах аналізу: CV&lt;2,1%.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9B1C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62BB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163ED" w:rsidRPr="00E150E0" w14:paraId="63932B8A" w14:textId="77777777" w:rsidTr="00A163ED">
        <w:trPr>
          <w:gridAfter w:val="1"/>
          <w:wAfter w:w="247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7828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B5625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55981</w:t>
            </w:r>
          </w:p>
          <w:p w14:paraId="6E14AB72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Активований частковий</w:t>
            </w:r>
          </w:p>
          <w:p w14:paraId="2A0224BC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тромбопластиновий час</w:t>
            </w:r>
          </w:p>
          <w:p w14:paraId="2F47FE90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IVD (діагностика in vitro ),</w:t>
            </w:r>
          </w:p>
          <w:p w14:paraId="77FDB1FA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набір, аналіз утворення</w:t>
            </w:r>
          </w:p>
          <w:p w14:paraId="5AA1B197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згустку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6CBBF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АЧТЧ, рідкий DIA-PTT Liquid</w:t>
            </w:r>
          </w:p>
          <w:p w14:paraId="5363025A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або еквівалент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E17BB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Фасування: 6х2 мл.</w:t>
            </w:r>
          </w:p>
          <w:p w14:paraId="6CC11D06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Набір повинен бути рідким, готовим до використання, призначеним для визначення активованого часткового тромбопластинового часу, а також факторів I, II, V, VIII, IX, X, XI та XI.</w:t>
            </w:r>
          </w:p>
          <w:p w14:paraId="478362F2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Кількість реагенту на 1 дослідження: не більш як 50 мкл.</w:t>
            </w:r>
          </w:p>
          <w:p w14:paraId="1677A9D2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Відкриті флакони повинні бути стабільні протягом не менш як 14 днів за температури 2-8°С.</w:t>
            </w:r>
          </w:p>
          <w:p w14:paraId="07BA90D8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Доступні межі інтерференцій: гемоглобін ≤ 3,4 г/л, тригліцериди  ≤ 10 ммоль/л, білірубін ≤ 240 мкмоль/л.</w:t>
            </w:r>
          </w:p>
          <w:p w14:paraId="1B5360C0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Точність у межах аналізу: CV&lt;0,5%.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54A7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7FA2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163ED" w:rsidRPr="00E150E0" w14:paraId="329DFBE2" w14:textId="77777777" w:rsidTr="00A163ED">
        <w:trPr>
          <w:gridAfter w:val="1"/>
          <w:wAfter w:w="247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3669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6157C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61165</w:t>
            </w:r>
          </w:p>
          <w:p w14:paraId="4D7330DB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Реагент для лізису клітин</w:t>
            </w:r>
          </w:p>
          <w:p w14:paraId="5726103B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крові IVD (діагностика in</w:t>
            </w:r>
          </w:p>
          <w:p w14:paraId="6A499CFE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vitro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8BC41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Лізуючий реагент Diatro Lyse-DIFF з апаратним ключем</w:t>
            </w:r>
          </w:p>
          <w:p w14:paraId="40FAC661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або еквівалент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95CFD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Фасування: 1 л.</w:t>
            </w:r>
          </w:p>
          <w:p w14:paraId="6991495F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Повинен являти собою стабілізований і мікрофільтрований лізуючий реагент для стромолізу еритроцитів (RBC), кількісного визначення лейкоцитів (WBC), 3-складової диференціації лейкоцитів (LYM, MID, GRAN) і визначення концентрації гемоглобіну (HGB) в зразках крові людини на гематологічних аналізаторах Diatron.</w:t>
            </w:r>
          </w:p>
          <w:p w14:paraId="05B8BE45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Склад повинен відповідати: ПАР &lt; 3,5%, буфери &lt; 1%, консерванти &lt; 0,5%, стабілізатори &lt; 0,5%.</w:t>
            </w:r>
          </w:p>
          <w:p w14:paraId="1B68211B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Загальний термін придатності - не менше 48 місяців. Термін придатності після відкриття контейнера - не менше 120 днів.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B997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92D8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63ED" w:rsidRPr="00E150E0" w14:paraId="19010047" w14:textId="77777777" w:rsidTr="00A163ED">
        <w:trPr>
          <w:gridAfter w:val="1"/>
          <w:wAfter w:w="247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E1D8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90605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63377</w:t>
            </w:r>
          </w:p>
          <w:p w14:paraId="1C98AC89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Засіб для очищення</w:t>
            </w:r>
          </w:p>
          <w:p w14:paraId="281FB885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приладу/ аналізатора IVD</w:t>
            </w:r>
          </w:p>
          <w:p w14:paraId="63F69B5C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(діагностика in vitro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2F87C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Очищуючий розчин Diatro Cleaner</w:t>
            </w:r>
          </w:p>
          <w:p w14:paraId="1AF35B48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або еквівалент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18F69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Фасування: 1 л.</w:t>
            </w:r>
          </w:p>
          <w:p w14:paraId="27E74FBD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Повинен являти собою стабілізований і мікрофільтрований розчин детергенту для регулярного автоматизованого очищення, ополіскування та промивки капілярів, трубок і камер гематологічного аналізатора, видалення компонентів осаду крові і ліпопротеїнових відкладень на гематологічних аналізаторах Diatron.</w:t>
            </w:r>
          </w:p>
          <w:p w14:paraId="6FEAE005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Склад повинен відповідати: детергенти &lt; 1%, буфери &lt; 1%, консерванти &lt; 0,5%, стабілізатори &lt; 0,5%.</w:t>
            </w:r>
          </w:p>
          <w:p w14:paraId="20A12245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Загальний термін придатності - не менше 48 місяців.</w:t>
            </w:r>
          </w:p>
          <w:p w14:paraId="60AC6DAF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Термін придатності після відкриття контейнера - не менше 120 днів.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AA64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93AC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163ED" w:rsidRPr="00E150E0" w14:paraId="7F4FEF42" w14:textId="77777777" w:rsidTr="00A163ED">
        <w:trPr>
          <w:gridAfter w:val="1"/>
          <w:wAfter w:w="247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5CAA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3BA6D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58237 Буферний розчинник</w:t>
            </w:r>
          </w:p>
          <w:p w14:paraId="14E3CB2E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зразків IVD (діагностика</w:t>
            </w:r>
          </w:p>
          <w:p w14:paraId="01F6668D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in vitro ), автоматичні/</w:t>
            </w:r>
          </w:p>
          <w:p w14:paraId="64C8E398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напівавтоматичні </w:t>
            </w:r>
            <w:r w:rsidRPr="00E1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системи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03D27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lastRenderedPageBreak/>
              <w:t>Ділюент Diatro Dil-DIFF</w:t>
            </w:r>
          </w:p>
          <w:p w14:paraId="14C6C01C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або еквівалент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4BBD4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Фасування: 20 л.</w:t>
            </w:r>
          </w:p>
          <w:p w14:paraId="41667CB2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 xml:space="preserve">Повинен являти собою буферизований, стабілізований і мікрофільтрований електролітний розчин для автоматичного розведення зразків крові людини, якісного і кількісного визначення еритроцитів (RBC), лейкоцитів (WBC) і субпопуляцій лейкоцитів, тромбоцитів (PLT) і вимірювання концентрації </w:t>
            </w:r>
            <w:r w:rsidRPr="00E150E0">
              <w:rPr>
                <w:color w:val="000000"/>
                <w:sz w:val="20"/>
                <w:szCs w:val="20"/>
              </w:rPr>
              <w:lastRenderedPageBreak/>
              <w:t>гемоглобіну (HGB) на гематологічних аналізаторах Diatron. Склад повинен відповідати: хлорид натрію &lt; 1,5%, буфери &lt; 1%, консерванти &lt; 0,5%, стабілізатори &lt; 0,5%.</w:t>
            </w:r>
          </w:p>
          <w:p w14:paraId="13CA99D9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Загальний термін придатності - не менше 36 місяців. Термін придатності після відкриття контейнера - не менше 120 днів.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E3DC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5A71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63ED" w:rsidRPr="00E150E0" w14:paraId="349DA56C" w14:textId="77777777" w:rsidTr="00A163ED">
        <w:trPr>
          <w:gridAfter w:val="1"/>
          <w:wAfter w:w="247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5FB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43387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55866</w:t>
            </w:r>
          </w:p>
          <w:p w14:paraId="2D79979D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Підрахунок клітин крові</w:t>
            </w:r>
          </w:p>
          <w:p w14:paraId="2CBA2625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IVD (діагностика in vitro ),</w:t>
            </w:r>
          </w:p>
          <w:p w14:paraId="7C56378C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контрольний матеріал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DFB76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Контроль гематологічний Diacon 3 норма</w:t>
            </w:r>
          </w:p>
          <w:p w14:paraId="51C48C3F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або еквівалент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376E" w14:textId="77777777" w:rsidR="00A163ED" w:rsidRPr="00E150E0" w:rsidRDefault="00A163ED" w:rsidP="004F447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Фасування: 3 мл.</w:t>
            </w:r>
          </w:p>
          <w:p w14:paraId="066C8268" w14:textId="77777777" w:rsidR="00A163ED" w:rsidRPr="00E150E0" w:rsidRDefault="00A163ED" w:rsidP="004F447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Контроль, призначений для моніторингу значень на автоматичних та напівавтоматичних гематологічних аналізаторах імпедансного типу. Він також може бути використаний для ручного методу. In vitro діагностичний реагент, що складається з еритроцитів людини, змодельованих лейкоцитів і тромбоцитів ссавців, затриманих у плазмо-подібній рідині з консервантами.</w:t>
            </w:r>
          </w:p>
          <w:p w14:paraId="0BD3849C" w14:textId="77777777" w:rsidR="00A163ED" w:rsidRPr="00E150E0" w:rsidRDefault="00A163ED" w:rsidP="004F447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Відкриті пробірки повинні бути стабільні протягом не менш як 14 днів.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0A52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флак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C7BA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63ED" w:rsidRPr="00E150E0" w14:paraId="0DE82468" w14:textId="77777777" w:rsidTr="00A163ED">
        <w:trPr>
          <w:gridAfter w:val="1"/>
          <w:wAfter w:w="247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FC79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57870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63377</w:t>
            </w:r>
          </w:p>
          <w:p w14:paraId="2B4A294B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Засіб для очищення</w:t>
            </w:r>
          </w:p>
          <w:p w14:paraId="571EFC75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приладу/ аналізатора IVD</w:t>
            </w:r>
          </w:p>
          <w:p w14:paraId="5AC80904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(діагностика in vitro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EC99A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Промивний розчин Diatro Hypoclean CC</w:t>
            </w:r>
          </w:p>
          <w:p w14:paraId="1D58E90C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або еквівалент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12B80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Фасування: 100 мл.</w:t>
            </w:r>
          </w:p>
          <w:p w14:paraId="1D1ECBE8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Повинен являти собою стабілізований і мікрофільтрований концентрований гіпохлоритний розчин для інтенсивного окисного очищення, ополіскування та промивки капілярів, трубок і камер гематологічного аналізатора, видалення компонентів осаду крові і ліпопротеїнових відкладень на всіх гематологічних аналізаторах.</w:t>
            </w:r>
          </w:p>
          <w:p w14:paraId="4181473E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Склад повинен відповідати: детергенти &lt; 1%, гіпохлорит натрію &lt; 5%, гідроксид натрію &lt; 0,5%, стабілізатори &lt; 0,5%.</w:t>
            </w:r>
          </w:p>
          <w:p w14:paraId="1796E5B3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Загальний термін придатності - не менше 18 місяців.</w:t>
            </w:r>
          </w:p>
          <w:p w14:paraId="12F6C525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Термін придатності після відкриття контейнера - не менше 120 днів.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CA00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2643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63ED" w:rsidRPr="00E150E0" w14:paraId="1CCF9349" w14:textId="77777777" w:rsidTr="00A163ED">
        <w:trPr>
          <w:gridAfter w:val="1"/>
          <w:wAfter w:w="2474" w:type="dxa"/>
          <w:trHeight w:val="16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5FF5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F9FE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61032</w:t>
            </w:r>
          </w:p>
          <w:p w14:paraId="42ED63C2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Кювета для</w:t>
            </w:r>
          </w:p>
          <w:p w14:paraId="2818E531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лабораторного</w:t>
            </w:r>
          </w:p>
          <w:p w14:paraId="5E1D48DD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аналізатора IVD</w:t>
            </w:r>
          </w:p>
          <w:p w14:paraId="24812BBD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(діагностика in vitro )</w:t>
            </w:r>
          </w:p>
          <w:p w14:paraId="0A77C941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одноразового</w:t>
            </w:r>
          </w:p>
          <w:p w14:paraId="3070830E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06BA7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Кювети Coag D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CF04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Фасування: 1000 штук в упаковці.</w:t>
            </w:r>
          </w:p>
          <w:p w14:paraId="4828B521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Повинні бути придатними для використання з коагулометрами виробника Diagon (серія Coag).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8363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пак.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B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63ED" w:rsidRPr="00E150E0" w14:paraId="37C906BB" w14:textId="77777777" w:rsidTr="00A163ED">
        <w:trPr>
          <w:gridAfter w:val="1"/>
          <w:wAfter w:w="2474" w:type="dxa"/>
          <w:trHeight w:val="16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1722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555D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61389</w:t>
            </w:r>
          </w:p>
          <w:p w14:paraId="122D7461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E150E0">
              <w:rPr>
                <w:sz w:val="20"/>
                <w:szCs w:val="20"/>
              </w:rPr>
              <w:t>D-димер ІВД, набір, імунофлюоресцентний аналіз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6B6E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Тест на визначення D-Dimer</w:t>
            </w:r>
            <w:r w:rsidRPr="00E1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2A9" w14:textId="77777777" w:rsidR="00A163ED" w:rsidRPr="00E150E0" w:rsidRDefault="00A163ED" w:rsidP="004F4471">
            <w:pPr>
              <w:tabs>
                <w:tab w:val="left" w:pos="666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Імунологічний експрес-тест для визначення D-dimer</w:t>
            </w:r>
          </w:p>
          <w:p w14:paraId="2FDE3638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color w:val="000000"/>
                <w:sz w:val="20"/>
                <w:szCs w:val="20"/>
              </w:rPr>
            </w:pPr>
            <w:r w:rsidRPr="00E150E0">
              <w:rPr>
                <w:sz w:val="20"/>
                <w:szCs w:val="20"/>
              </w:rPr>
              <w:t xml:space="preserve">Тест на визначення D-dimer - флуоресцентний імунний аналіз для кількісного визначення D-димера у зразку цільної крові та плазми людини, використовується з аналізатором </w:t>
            </w:r>
            <w:bookmarkStart w:id="1" w:name="_Hlk94528312"/>
            <w:r w:rsidRPr="00E150E0">
              <w:rPr>
                <w:sz w:val="20"/>
                <w:szCs w:val="20"/>
              </w:rPr>
              <w:t xml:space="preserve">Exdia </w:t>
            </w:r>
            <w:r w:rsidRPr="00E150E0">
              <w:rPr>
                <w:sz w:val="20"/>
                <w:szCs w:val="20"/>
                <w:lang w:val="en-US"/>
              </w:rPr>
              <w:t>TRF</w:t>
            </w:r>
            <w:r w:rsidRPr="00E150E0">
              <w:rPr>
                <w:sz w:val="20"/>
                <w:szCs w:val="20"/>
              </w:rPr>
              <w:t xml:space="preserve"> </w:t>
            </w:r>
            <w:r w:rsidRPr="00E150E0">
              <w:rPr>
                <w:sz w:val="20"/>
                <w:szCs w:val="20"/>
                <w:lang w:val="en-US"/>
              </w:rPr>
              <w:t>Plus</w:t>
            </w:r>
            <w:r w:rsidRPr="00E150E0">
              <w:rPr>
                <w:sz w:val="20"/>
                <w:szCs w:val="20"/>
              </w:rPr>
              <w:t xml:space="preserve"> виробника Precision Biosensor Inc.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E09A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пак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611F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163ED" w:rsidRPr="00E150E0" w14:paraId="125D2894" w14:textId="77777777" w:rsidTr="00A163ED">
        <w:trPr>
          <w:gridAfter w:val="1"/>
          <w:wAfter w:w="2474" w:type="dxa"/>
          <w:trHeight w:val="16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0C33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D951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54313</w:t>
            </w:r>
          </w:p>
          <w:p w14:paraId="32B1DBA2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Прокальцитонін IVD, набір, імунофлюоресцентний аналіз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9C35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Тест  на визначення  PCT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8C98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color w:val="000000"/>
                <w:sz w:val="20"/>
                <w:szCs w:val="20"/>
              </w:rPr>
            </w:pPr>
            <w:r w:rsidRPr="00E150E0">
              <w:rPr>
                <w:sz w:val="20"/>
                <w:szCs w:val="20"/>
              </w:rPr>
              <w:t>Імунологічний експрес - тест для флуоресцентної імунохроматографії на виявлення прокальцитоніну РСТ в цільній крові, сироватці та плазмі людини, використовується з аналізатором Exdia TRF Plus виробника Precision Biosensor Inc.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A046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пак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7D6A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163ED" w:rsidRPr="00E150E0" w14:paraId="364710BF" w14:textId="77777777" w:rsidTr="00A163ED">
        <w:trPr>
          <w:gridAfter w:val="1"/>
          <w:wAfter w:w="2474" w:type="dxa"/>
          <w:trHeight w:val="16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6D4A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7A37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sz w:val="20"/>
                <w:szCs w:val="20"/>
              </w:rPr>
            </w:pPr>
            <w:r w:rsidRPr="00E150E0">
              <w:rPr>
                <w:sz w:val="20"/>
                <w:szCs w:val="20"/>
              </w:rPr>
              <w:t xml:space="preserve">53997 </w:t>
            </w:r>
          </w:p>
          <w:p w14:paraId="05B04AA7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Тропонін Т / Тропонін I IVD, набір, флюоресцентний імунологічний аналіз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A4C2" w14:textId="77777777" w:rsidR="00A163ED" w:rsidRPr="00E150E0" w:rsidRDefault="00A163ED" w:rsidP="004F4471">
            <w:pPr>
              <w:pStyle w:val="Standard"/>
              <w:rPr>
                <w:bCs/>
                <w:sz w:val="20"/>
                <w:szCs w:val="20"/>
                <w:lang w:val="uk-UA"/>
              </w:rPr>
            </w:pPr>
            <w:r w:rsidRPr="00E150E0">
              <w:rPr>
                <w:bCs/>
                <w:sz w:val="20"/>
                <w:szCs w:val="20"/>
                <w:lang w:val="uk-UA"/>
              </w:rPr>
              <w:t>Тест на виявлення Тропоніну І,</w:t>
            </w:r>
          </w:p>
          <w:p w14:paraId="66B99A3D" w14:textId="77777777" w:rsidR="00A163ED" w:rsidRPr="00E150E0" w:rsidRDefault="00A163ED" w:rsidP="004F4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795F0859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7A4" w14:textId="77777777" w:rsidR="00A163ED" w:rsidRPr="00E150E0" w:rsidRDefault="00A163ED" w:rsidP="004F4471">
            <w:pPr>
              <w:tabs>
                <w:tab w:val="left" w:pos="6663"/>
              </w:tabs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iCs/>
                <w:sz w:val="20"/>
                <w:szCs w:val="20"/>
              </w:rPr>
              <w:t>Імунологічний  тест для кількісного визначення тропоніну I в цільній крові, плазмі або сироватці людини,</w:t>
            </w:r>
          </w:p>
          <w:p w14:paraId="47F36B6A" w14:textId="77777777" w:rsidR="00A163ED" w:rsidRPr="00E150E0" w:rsidRDefault="00A163ED" w:rsidP="004F4471">
            <w:pPr>
              <w:pStyle w:val="Standard"/>
              <w:rPr>
                <w:sz w:val="20"/>
                <w:szCs w:val="20"/>
                <w:lang w:val="uk-UA"/>
              </w:rPr>
            </w:pPr>
            <w:r w:rsidRPr="00E150E0">
              <w:rPr>
                <w:iCs/>
                <w:sz w:val="20"/>
                <w:szCs w:val="20"/>
                <w:lang w:val="uk-UA"/>
              </w:rPr>
              <w:t xml:space="preserve">використовується з аналізатором </w:t>
            </w:r>
            <w:r w:rsidRPr="00E150E0">
              <w:rPr>
                <w:iCs/>
                <w:sz w:val="20"/>
                <w:szCs w:val="20"/>
              </w:rPr>
              <w:t>Exdia</w:t>
            </w:r>
            <w:r w:rsidRPr="00E150E0">
              <w:rPr>
                <w:iCs/>
                <w:sz w:val="20"/>
                <w:szCs w:val="20"/>
                <w:lang w:val="uk-UA"/>
              </w:rPr>
              <w:t xml:space="preserve"> </w:t>
            </w:r>
            <w:r w:rsidRPr="00E150E0">
              <w:rPr>
                <w:iCs/>
                <w:sz w:val="20"/>
                <w:szCs w:val="20"/>
              </w:rPr>
              <w:t>TRF</w:t>
            </w:r>
            <w:r w:rsidRPr="00E150E0">
              <w:rPr>
                <w:iCs/>
                <w:sz w:val="20"/>
                <w:szCs w:val="20"/>
                <w:lang w:val="uk-UA"/>
              </w:rPr>
              <w:t xml:space="preserve"> </w:t>
            </w:r>
            <w:r w:rsidRPr="00E150E0">
              <w:rPr>
                <w:iCs/>
                <w:sz w:val="20"/>
                <w:szCs w:val="20"/>
              </w:rPr>
              <w:t>Plus</w:t>
            </w:r>
            <w:r w:rsidRPr="00E150E0">
              <w:rPr>
                <w:iCs/>
                <w:sz w:val="20"/>
                <w:szCs w:val="20"/>
                <w:lang w:val="uk-UA"/>
              </w:rPr>
              <w:t xml:space="preserve"> виробника </w:t>
            </w:r>
            <w:r w:rsidRPr="00E150E0">
              <w:rPr>
                <w:iCs/>
                <w:sz w:val="20"/>
                <w:szCs w:val="20"/>
              </w:rPr>
              <w:t>Precision</w:t>
            </w:r>
            <w:r w:rsidRPr="00E150E0">
              <w:rPr>
                <w:iCs/>
                <w:sz w:val="20"/>
                <w:szCs w:val="20"/>
                <w:lang w:val="uk-UA"/>
              </w:rPr>
              <w:t xml:space="preserve"> </w:t>
            </w:r>
            <w:r w:rsidRPr="00E150E0">
              <w:rPr>
                <w:iCs/>
                <w:sz w:val="20"/>
                <w:szCs w:val="20"/>
              </w:rPr>
              <w:t>Biosensor</w:t>
            </w:r>
            <w:r w:rsidRPr="00E150E0">
              <w:rPr>
                <w:iCs/>
                <w:sz w:val="20"/>
                <w:szCs w:val="20"/>
                <w:lang w:val="uk-UA"/>
              </w:rPr>
              <w:t xml:space="preserve"> </w:t>
            </w:r>
            <w:r w:rsidRPr="00E150E0">
              <w:rPr>
                <w:iCs/>
                <w:sz w:val="20"/>
                <w:szCs w:val="20"/>
              </w:rPr>
              <w:t>Inc</w:t>
            </w:r>
            <w:r w:rsidRPr="00E150E0">
              <w:rPr>
                <w:iCs/>
                <w:sz w:val="20"/>
                <w:szCs w:val="20"/>
                <w:lang w:val="uk-UA"/>
              </w:rPr>
              <w:t>.</w:t>
            </w:r>
          </w:p>
          <w:p w14:paraId="606C9D5E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1383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65CC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163ED" w:rsidRPr="00E150E0" w14:paraId="6782EA9E" w14:textId="77777777" w:rsidTr="00A163ED">
        <w:trPr>
          <w:gridAfter w:val="1"/>
          <w:wAfter w:w="2474" w:type="dxa"/>
          <w:trHeight w:val="8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31FF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EFD6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150E0">
              <w:rPr>
                <w:color w:val="000000"/>
                <w:sz w:val="20"/>
                <w:szCs w:val="20"/>
                <w:shd w:val="clear" w:color="auto" w:fill="FFFFFF"/>
              </w:rPr>
              <w:t>51815</w:t>
            </w:r>
          </w:p>
          <w:p w14:paraId="16C9A34F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  <w:shd w:val="clear" w:color="auto" w:fill="FFFFFF"/>
              </w:rPr>
              <w:t xml:space="preserve"> Treponema pallidum, антитіла класу </w:t>
            </w:r>
            <w:r w:rsidRPr="00E150E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імуноглобулін G (IgG) та імуноглобулін M (IgM), набір, імуноферментний аналіз (ІФА)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DAE0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Тест-система імуноферментна для виявлення </w:t>
            </w:r>
            <w:r w:rsidRPr="00E15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антитіл класів IgG та IgM до Тreponema pallidum DIA®-IgG-IgM-Trep(96 досл.), або еквівалент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A0A8" w14:textId="77777777" w:rsidR="00A163ED" w:rsidRPr="00E150E0" w:rsidRDefault="00A163ED" w:rsidP="004F4471">
            <w:pPr>
              <w:pStyle w:val="a4"/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150E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Призначення: для якісного виявлення IgG та IgМ антитіл до Treponema pallidum в сироватці та плазмі крові людини методом імуноферментного аналізу </w:t>
            </w:r>
            <w:r w:rsidRPr="00E150E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(ІФА) як на ранніх стадіях, так і при хронічному перебігу захворювання. Тест-системи повинні бути стрипової комплектації з можливістю відокремлення кожної лунки. Можливість проведення аналізу як з використанням стандартного обладнання для ІФА, так і за допомогою автоматичних імуноферментних аналізаторів відкритого типу, з використанням валідованого протоколу постановки аналізу. Принцип аналізу повинен базуватися на методі твердофазного непрямого ІФА з двоетапною процедурою. Наявність не менше двох режимів проведення аналізу: з використанням термошейкера та без використанням термошейкера. Під час внесення зразка повинен змінюватися колір розчину в лунці, що забезпечує контроль внесення досліджуваного зразка в лунку. Розчин проявника повинний бути готовий до використання і містити готову суміш тетраметилбензидину з субстратом. Об’єм досліджуваного зразка - не більше 20 мкл. Тривалість проведення аналізу - не більше 2-х годин. Після первинного відкриття упаковки всі реагенти повинні бути стабільними впродовж терміну придатності тест-системи, за умови їх зберігання в щільно закритій первинній упаковці при температурі 2-8°С в захищеному від світла місці. Можливість зберігання реагентів тест-системи в ході проведення аналізу протягом 8 годин при температурі 18-25°С в захищеному від світла місці. Можливість транспортування тест-систем при температурі 9-25ºС протягом десяти діб. Загальний термін придатності тест-системи - не менше 18 місяців. Чутливість та специфічність тест-систем - не менше 100%. Чутливість  та специфічність тест-систем повинна бути підтверджена документально. Склад набору повинен включати: 1. Полістироловий 96-лунковий планшет в вакуумованому пакеті з ламінованого алюмінію з замком Ziploc в лунках якого сорбовані рекомбінантні білки Трр 15, Трр 17, Трр 41 та Трр 47 – аналоги антигенів T. pallidum. Готовий до використання. 2. Концентрат кон’югату (11x). Моноклональні антитіла до IgG та IgМ людини, кон’юговані з пероксидазою хрону, консервант 0,4% ProClinТМ300 (червоний). 3. Позитивний контроль. Очищені імуноглобуліни людини, специфічні до T.pallidum, консервант 0,4% ProClinТМ300 (світло-жовтий). Готовий до використання. 4. Негативний контроль. Інактивована сироватка крові людини, яка не містить HВsAg, антиген р24 ВІЛ-1, антитіла до ВІЛ-1/2, вірусу гепатиту С і Т.pallidum, консерванти: 0,2% ProClinТМ300 і 0,099% азид натрію (світло-жовтий). Готовий до використання. 5. Концентрат розчину для промивання (26х). Концентрат сольового буферу з детергентом (безбарвний, допускається розшарування та випадіння кристалічного осаду, що розчиняється при нагріванні). 6. Розчин для розведення сироваток. Білково-сольовий буфер що містить детергент, блок-компоненти і консервант 0,4% ProClinТМ300 (фіолетовий). Готовий до використання. 7. Розчин для розведення кон’югату. Білково-сольовий буфер, що містить детергент, блок-компоненти і консервант 0,4% ProClinТМ300 (червоний). Готовий до використання. 8. ТМБ-субстрат. 3,3’,5,5’-тетраметилбензидин в розчині, що містить перекис водню (безбарвний). Готовий до використання. 9. Стоп-реагент. Розчин сірчаної кислоти (безбарвний). Готовий до </w:t>
            </w:r>
            <w:r w:rsidRPr="00E150E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використання. 10. Клейка плівка. 11. Інструкція з використання.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52B4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9F08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163ED" w:rsidRPr="00E150E0" w14:paraId="475363C3" w14:textId="77777777" w:rsidTr="00A163ED">
        <w:trPr>
          <w:gridAfter w:val="1"/>
          <w:wAfter w:w="2474" w:type="dxa"/>
          <w:trHeight w:val="16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99B9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1E61" w14:textId="77777777" w:rsidR="00A163ED" w:rsidRPr="00E150E0" w:rsidRDefault="00A163ED" w:rsidP="004F4471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53316 Глікозильований гемоглобін (HbA1c) IVD, реагент</w:t>
            </w:r>
          </w:p>
          <w:p w14:paraId="23BF56B7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7E66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0E0">
              <w:rPr>
                <w:rStyle w:val="230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Глікогемоглобін </w:t>
            </w:r>
            <w:r w:rsidRPr="00E1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HbA1, набір реагентів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F9AD" w14:textId="77777777" w:rsidR="00A163ED" w:rsidRPr="00E150E0" w:rsidRDefault="00A163ED" w:rsidP="004F4471">
            <w:pPr>
              <w:pStyle w:val="docdata"/>
              <w:widowControl w:val="0"/>
              <w:tabs>
                <w:tab w:val="left" w:pos="337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Набір реагентів для вимірювання глікогемоглобіну за допомогою сепарації на іонообмінній смолі. Фасування: не менше 100 тестів. У складін набору: лізуючий реагент, іонообмінна смола, стандарт глікогемоглобіну.</w:t>
            </w:r>
          </w:p>
          <w:p w14:paraId="7DBE4DF7" w14:textId="77777777" w:rsidR="00A163ED" w:rsidRPr="00E150E0" w:rsidRDefault="00A163ED" w:rsidP="004F44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0122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2755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163ED" w:rsidRPr="00E150E0" w14:paraId="334BA7B6" w14:textId="77777777" w:rsidTr="00A163ED">
        <w:trPr>
          <w:gridAfter w:val="1"/>
          <w:wAfter w:w="2474" w:type="dxa"/>
          <w:trHeight w:val="16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FC44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A109" w14:textId="77777777" w:rsidR="00A163ED" w:rsidRPr="00E150E0" w:rsidRDefault="00A163ED" w:rsidP="004F4471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44435 Контрольний матеріал для визначення глікованого гемоглобіну (HbA1c), IVD (діагностика in vitro)</w:t>
            </w:r>
          </w:p>
          <w:p w14:paraId="17369211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47B5" w14:textId="77777777" w:rsidR="00A163ED" w:rsidRPr="00E150E0" w:rsidRDefault="00A163ED" w:rsidP="004F4471">
            <w:pPr>
              <w:pStyle w:val="docdata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Контроль для глікогемоглобіну НbА1</w:t>
            </w:r>
          </w:p>
          <w:p w14:paraId="2461A0B4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EAD6" w14:textId="77777777" w:rsidR="00A163ED" w:rsidRPr="00E150E0" w:rsidRDefault="00A163ED" w:rsidP="004F4471">
            <w:pPr>
              <w:pStyle w:val="docdata"/>
              <w:widowControl w:val="0"/>
              <w:tabs>
                <w:tab w:val="left" w:pos="337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Контроль для глікогемоглобіну (НbА1), 2 рівня. Фасування не менше 2х1 мл.</w:t>
            </w:r>
          </w:p>
          <w:p w14:paraId="6463FE97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C171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FD0A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163ED" w:rsidRPr="00E150E0" w14:paraId="53834279" w14:textId="77777777" w:rsidTr="00A163ED">
        <w:trPr>
          <w:gridAfter w:val="1"/>
          <w:wAfter w:w="2474" w:type="dxa"/>
          <w:trHeight w:val="16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AEDB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11" w:type="dxa"/>
            <w:vAlign w:val="center"/>
          </w:tcPr>
          <w:p w14:paraId="22D9FB2D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48365    Вірус гепатиту C загальні антитіла IVD,набір,  імуноферментний аналіз (ІФА)</w:t>
            </w:r>
          </w:p>
        </w:tc>
        <w:tc>
          <w:tcPr>
            <w:tcW w:w="1843" w:type="dxa"/>
            <w:vAlign w:val="center"/>
          </w:tcPr>
          <w:p w14:paraId="1F85AB51" w14:textId="77777777" w:rsidR="00A163ED" w:rsidRPr="00E150E0" w:rsidRDefault="00A163ED" w:rsidP="004F4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1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Імуноферментна тест-система для виявлення сумарних антитіл до вірусу гепатиту С  №96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FE37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 xml:space="preserve">Склад набору: </w:t>
            </w:r>
            <w:r w:rsidRPr="00E15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ELISA STRIPS </w:t>
            </w: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5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x</w:t>
            </w: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96 лунок ІФА-планшет В</w:t>
            </w:r>
            <w:r w:rsidRPr="00E15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кожній</w:t>
            </w:r>
            <w:r w:rsidRPr="00E15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лунці</w:t>
            </w:r>
            <w:r w:rsidRPr="00E15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планшету</w:t>
            </w:r>
            <w:r w:rsidRPr="00E15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засорбовані</w:t>
            </w:r>
            <w:r w:rsidRPr="00E15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рекомбінантні</w:t>
            </w:r>
            <w:r w:rsidRPr="00E15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антигени</w:t>
            </w:r>
            <w:r w:rsidRPr="00E15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ВГС</w:t>
            </w:r>
            <w:r w:rsidRPr="00E15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core</w:t>
            </w: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5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NS</w:t>
            </w: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E15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NS</w:t>
            </w: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5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E15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NS</w:t>
            </w: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15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Лункиможна відокремлювати. 12 стрипів по 8 лунок.CONTROL + 1x0,7 ml Позитивний контроль.Розчин специфічних імуноглобулінів з консерван-том (рожевий). CONTROL – 1x1,8 ml Негативний контроль Розчин альбуміну з консервантом (жовтий). SAMPLE DILUENT 1x10 ml.Розчин для розведення сироваток.Буферний розчин з детергентом та консервантом(коричневозелений). CONJUGATE SOLUTION 1x12 ml.Розчин кон’югату.Буферний розчин моноклональних антитіл до IgGа IgM людини, кон’югованих з пероксидазою хрону, зі стабілізаторами та консервантом (зелений),готовий до використання.TMB SOLUTION 1x12 ml.Розчин ТМБ.Розчин ТМБ, Н2О2, стабілізатор, консервант (без-барвний), готовий до використання. WASH TWEEN 20X 1x50 ml.Розчин для промивання Tw (20х)20ти кратний концентрат фосфатного буферу з Твіном 20 та NaCl (безбарвний).STOP SOLUTION 1x12 ml Стоп-реагент Розчин 0,5 mol/l H2SO4 (безбарвний), готовий до використання. Компоненти тест-системи мають бути біологічно безпечними, позитивний та негативний контролі не повинні містити сироватку крові (або її компоненти) пацієнтів, які хворіли або хворіть на  Гепатит C</w:t>
            </w:r>
          </w:p>
        </w:tc>
        <w:tc>
          <w:tcPr>
            <w:tcW w:w="851" w:type="dxa"/>
            <w:vAlign w:val="center"/>
          </w:tcPr>
          <w:p w14:paraId="286A823D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9" w:type="dxa"/>
            <w:vAlign w:val="center"/>
          </w:tcPr>
          <w:p w14:paraId="1913141C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163ED" w:rsidRPr="00E150E0" w14:paraId="045DF51D" w14:textId="77777777" w:rsidTr="00A163ED">
        <w:trPr>
          <w:gridAfter w:val="1"/>
          <w:wAfter w:w="2474" w:type="dxa"/>
          <w:trHeight w:val="16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0CF2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11" w:type="dxa"/>
            <w:vAlign w:val="center"/>
          </w:tcPr>
          <w:p w14:paraId="49EF9CD2" w14:textId="77777777" w:rsidR="00A163ED" w:rsidRPr="00E150E0" w:rsidRDefault="00A163ED" w:rsidP="004F4471">
            <w:pPr>
              <w:pStyle w:val="a4"/>
              <w:spacing w:before="0" w:beforeAutospacing="0" w:after="0" w:afterAutospacing="0"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E150E0">
              <w:rPr>
                <w:color w:val="000000"/>
                <w:sz w:val="20"/>
                <w:szCs w:val="20"/>
              </w:rPr>
              <w:t>48319 Вірус гепатиту B, поверхневий антиген IVD (діагностика in vitro ), набір, імуноферментний аналіз (ІФА)</w:t>
            </w:r>
          </w:p>
        </w:tc>
        <w:tc>
          <w:tcPr>
            <w:tcW w:w="1843" w:type="dxa"/>
            <w:vAlign w:val="center"/>
          </w:tcPr>
          <w:p w14:paraId="085FF657" w14:textId="77777777" w:rsidR="00A163ED" w:rsidRPr="00E150E0" w:rsidRDefault="00A163ED" w:rsidP="004F4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15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Імуноферментна тест-система для виявлення поверхневого антигену вірусу гепатиту В №96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171C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Склад набору:</w:t>
            </w:r>
          </w:p>
          <w:p w14:paraId="3AD56D28" w14:textId="77777777" w:rsidR="00A163ED" w:rsidRPr="00E150E0" w:rsidRDefault="00A163ED" w:rsidP="004F447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ELISA</w:t>
            </w: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STRIPS</w:t>
            </w: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E15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x</w:t>
            </w: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 xml:space="preserve">96 лунок ІФА-планшет У кожній лунці планшету засорбовані моноклональні антитіла до </w:t>
            </w:r>
            <w:r w:rsidRPr="00E15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HBsAg</w:t>
            </w: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15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Лунки можна відокремлювати. 12 стрипів по 8 лунок. 2/8 Inst_HBsAg_TK016_V02 CONTROL + 1x1,8 ml Позитивний контроль Розчин рекомбінантного поверхневого антигену вірусу гепатиту В у буфері з консервантом (рожевий). CONTROL – 2x1,8 ml Негативний контроль Розчин альбуміну з консервантом (жовтий) CONJUGATE DILUENT 1x7 ml Розчин для розведення кон’югату Буферний розчин з детергентом та консервантом (рожевий). CONJUGATE 11x 1x0,7 ml Кон’югат (11х) </w:t>
            </w:r>
            <w:r w:rsidRPr="00E15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11-ти кратний концентрат кон’югату моноклональних антитіл до HBsAg з пероксидазою хрону у буферному розчині зі стабілізаторами (синій). TMB SOLUTION 1x12 ml Розчин ТМБ Розчин ТМБ, Н2О2 , стабілізатор, консервант (безбарвний), готовий до використання. WASH TWEEN 20X 1x50 ml Розчин для промивання Tw20 (20х) 20-ти кратний концентрат фосфатного буферу з Твіном-20 та NaCl (безбарвний). STOP SOLUTION 1x12 ml Стоп-реагент Розчин 0,5 mol/l H2 SO4 (безбарвний), готовий до використання. Компоненти тест-системи мають бути біологічно безпечними, позитивний та негативний контролі не повинні містити сироватку крові (або її компоненти) пацієнтів, які хворіли або хворіть на    Гепатит B</w:t>
            </w:r>
          </w:p>
        </w:tc>
        <w:tc>
          <w:tcPr>
            <w:tcW w:w="851" w:type="dxa"/>
            <w:vAlign w:val="center"/>
          </w:tcPr>
          <w:p w14:paraId="28C96529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</w:t>
            </w:r>
          </w:p>
        </w:tc>
        <w:tc>
          <w:tcPr>
            <w:tcW w:w="709" w:type="dxa"/>
            <w:vAlign w:val="center"/>
          </w:tcPr>
          <w:p w14:paraId="513A9043" w14:textId="77777777" w:rsidR="00A163ED" w:rsidRPr="00E150E0" w:rsidRDefault="00A163ED" w:rsidP="004F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0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63ED" w:rsidRPr="00E150E0" w14:paraId="0FC0F15A" w14:textId="77777777" w:rsidTr="00A163ED">
        <w:trPr>
          <w:trHeight w:val="479"/>
        </w:trPr>
        <w:tc>
          <w:tcPr>
            <w:tcW w:w="133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11435" w14:textId="77777777" w:rsidR="00A163ED" w:rsidRPr="00E150E0" w:rsidRDefault="00A163ED" w:rsidP="004F44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C28D20" w14:textId="0A7CDF19" w:rsidR="00A216AB" w:rsidRDefault="00A216AB" w:rsidP="00413403">
      <w:pPr>
        <w:spacing w:line="264" w:lineRule="auto"/>
        <w:ind w:left="-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50E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Примітка: </w:t>
      </w:r>
      <w:r w:rsidRPr="00E150E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у разі, коли в описі предмета закупівлі </w:t>
      </w:r>
      <w:r w:rsidRPr="00E150E0">
        <w:rPr>
          <w:rFonts w:ascii="Times New Roman" w:hAnsi="Times New Roman" w:cs="Times New Roman"/>
          <w:b/>
          <w:i/>
          <w:sz w:val="20"/>
          <w:szCs w:val="20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</w:t>
      </w:r>
    </w:p>
    <w:p w14:paraId="3EC531DA" w14:textId="77777777" w:rsidR="00A163ED" w:rsidRDefault="00A163ED" w:rsidP="00413403">
      <w:pPr>
        <w:spacing w:line="264" w:lineRule="auto"/>
        <w:ind w:left="-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A163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CC"/>
    <w:family w:val="swiss"/>
    <w:pitch w:val="variable"/>
    <w:sig w:usb0="00000001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58A"/>
    <w:rsid w:val="00022667"/>
    <w:rsid w:val="001B2C66"/>
    <w:rsid w:val="001B4E85"/>
    <w:rsid w:val="00277E93"/>
    <w:rsid w:val="00284466"/>
    <w:rsid w:val="002960DE"/>
    <w:rsid w:val="002B7005"/>
    <w:rsid w:val="003212C4"/>
    <w:rsid w:val="00413403"/>
    <w:rsid w:val="00424A4F"/>
    <w:rsid w:val="0046712C"/>
    <w:rsid w:val="004740A5"/>
    <w:rsid w:val="004C3D2B"/>
    <w:rsid w:val="004D252B"/>
    <w:rsid w:val="00682A18"/>
    <w:rsid w:val="006A1909"/>
    <w:rsid w:val="00703F6C"/>
    <w:rsid w:val="0078224E"/>
    <w:rsid w:val="00793784"/>
    <w:rsid w:val="00834A15"/>
    <w:rsid w:val="00835696"/>
    <w:rsid w:val="008E7FC4"/>
    <w:rsid w:val="0094410A"/>
    <w:rsid w:val="00A163ED"/>
    <w:rsid w:val="00A216AB"/>
    <w:rsid w:val="00A64C14"/>
    <w:rsid w:val="00A87FE9"/>
    <w:rsid w:val="00B5592D"/>
    <w:rsid w:val="00B71A1B"/>
    <w:rsid w:val="00BA0264"/>
    <w:rsid w:val="00BC1186"/>
    <w:rsid w:val="00C27343"/>
    <w:rsid w:val="00CA1CA0"/>
    <w:rsid w:val="00CA3EEC"/>
    <w:rsid w:val="00CF6331"/>
    <w:rsid w:val="00D268CE"/>
    <w:rsid w:val="00D8283C"/>
    <w:rsid w:val="00E150E0"/>
    <w:rsid w:val="00E3155B"/>
    <w:rsid w:val="00EC558A"/>
    <w:rsid w:val="00ED58AF"/>
    <w:rsid w:val="00ED6177"/>
    <w:rsid w:val="00F012DC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3B4C"/>
  <w15:docId w15:val="{BDD60CC9-2F8C-468C-ACBC-32B38EE5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58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5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1CA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9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rsid w:val="00D268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xfmc1">
    <w:name w:val="xfmc1"/>
    <w:basedOn w:val="a"/>
    <w:rsid w:val="00D2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WW8Num1z2">
    <w:name w:val="WW8Num1z2"/>
    <w:rsid w:val="00A87FE9"/>
  </w:style>
  <w:style w:type="paragraph" w:styleId="HTML">
    <w:name w:val="HTML Preformatted"/>
    <w:basedOn w:val="a"/>
    <w:link w:val="HTML0"/>
    <w:uiPriority w:val="99"/>
    <w:unhideWhenUsed/>
    <w:rsid w:val="00A1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A163ED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docdata">
    <w:name w:val="docdata"/>
    <w:aliases w:val="docy,v5,2144,baiaagaaboqcaaadjwqaaau1baaaaaaaaaaaaaaaaaaaaaaaaaaaaaaaaaaaaaaaaaaaaaaaaaaaaaaaaaaaaaaaaaaaaaaaaaaaaaaaaaaaaaaaaaaaaaaaaaaaaaaaaaaaaaaaaaaaaaaaaaaaaaaaaaaaaaaaaaaaaaaaaaaaaaaaaaaaaaaaaaaaaaaaaaaaaaaaaaaaaaaaaaaaaaaaaaaaaaaaaaaaaaaa"/>
    <w:basedOn w:val="a"/>
    <w:rsid w:val="00A1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303">
    <w:name w:val="2303"/>
    <w:aliases w:val="baiaagaaboqcaaadxgqaaaxubaaaaaaaaaaaaaaaaaaaaaaaaaaaaaaaaaaaaaaaaaaaaaaaaaaaaaaaaaaaaaaaaaaaaaaaaaaaaaaaaaaaaaaaaaaaaaaaaaaaaaaaaaaaaaaaaaaaaaaaaaaaaaaaaaaaaaaaaaaaaaaaaaaaaaaaaaaaaaaaaaaaaaaaaaaaaaaaaaaaaaaaaaaaaaaaaaaaaaaaaaaaaaaa"/>
    <w:basedOn w:val="a0"/>
    <w:rsid w:val="00A1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10956</Words>
  <Characters>6246</Characters>
  <Application>Microsoft Office Word</Application>
  <DocSecurity>0</DocSecurity>
  <Lines>52</Lines>
  <Paragraphs>34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pr.tender</dc:creator>
  <cp:keywords/>
  <dc:description/>
  <cp:lastModifiedBy>User</cp:lastModifiedBy>
  <cp:revision>9</cp:revision>
  <cp:lastPrinted>2024-02-19T10:58:00Z</cp:lastPrinted>
  <dcterms:created xsi:type="dcterms:W3CDTF">2024-01-25T06:41:00Z</dcterms:created>
  <dcterms:modified xsi:type="dcterms:W3CDTF">2024-02-19T10:58:00Z</dcterms:modified>
</cp:coreProperties>
</file>