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Додаток 2 до тендерної документації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:rsidR="00BF52C4" w:rsidRDefault="00BF52C4" w:rsidP="001C476C">
      <w:pPr>
        <w:spacing w:after="0" w:line="240" w:lineRule="auto"/>
        <w:jc w:val="both"/>
        <w:rPr>
          <w:sz w:val="20"/>
        </w:rPr>
      </w:pPr>
    </w:p>
    <w:p w:rsidR="00BF52C4" w:rsidRPr="0032375D" w:rsidRDefault="00BF52C4" w:rsidP="00BF52C4">
      <w:pPr>
        <w:spacing w:after="0" w:line="240" w:lineRule="auto"/>
        <w:ind w:firstLine="708"/>
        <w:jc w:val="center"/>
        <w:rPr>
          <w:b/>
          <w:sz w:val="24"/>
        </w:rPr>
      </w:pPr>
    </w:p>
    <w:p w:rsidR="00BF52C4" w:rsidRDefault="00BF52C4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>ТЕХНІЧНЕ ЗАВДАННЯ</w:t>
      </w:r>
    </w:p>
    <w:p w:rsidR="008E21CF" w:rsidRDefault="008E21CF" w:rsidP="00BF52C4">
      <w:pPr>
        <w:spacing w:after="0" w:line="240" w:lineRule="auto"/>
        <w:ind w:firstLine="708"/>
        <w:jc w:val="center"/>
        <w:rPr>
          <w:b/>
          <w:sz w:val="24"/>
          <w:lang w:val="uk-UA"/>
        </w:rPr>
      </w:pPr>
    </w:p>
    <w:p w:rsidR="008E21CF" w:rsidRPr="0032375D" w:rsidRDefault="003702B0" w:rsidP="008E21CF">
      <w:pPr>
        <w:spacing w:after="0" w:line="240" w:lineRule="auto"/>
        <w:ind w:firstLine="708"/>
        <w:jc w:val="center"/>
        <w:rPr>
          <w:b/>
          <w:sz w:val="24"/>
          <w:lang w:val="uk-UA"/>
        </w:rPr>
      </w:pPr>
      <w:r w:rsidRPr="003702B0">
        <w:rPr>
          <w:b/>
          <w:sz w:val="24"/>
          <w:lang w:val="uk-UA"/>
        </w:rPr>
        <w:t xml:space="preserve">«Поточний ремонт дороги комунальної власності </w:t>
      </w:r>
      <w:proofErr w:type="spellStart"/>
      <w:r w:rsidRPr="003702B0">
        <w:rPr>
          <w:b/>
          <w:sz w:val="24"/>
          <w:lang w:val="uk-UA"/>
        </w:rPr>
        <w:t>Новороздільської</w:t>
      </w:r>
      <w:proofErr w:type="spellEnd"/>
      <w:r w:rsidRPr="003702B0">
        <w:rPr>
          <w:b/>
          <w:sz w:val="24"/>
          <w:lang w:val="uk-UA"/>
        </w:rPr>
        <w:t xml:space="preserve"> ТГ по </w:t>
      </w:r>
      <w:proofErr w:type="spellStart"/>
      <w:r w:rsidRPr="003702B0">
        <w:rPr>
          <w:b/>
          <w:sz w:val="24"/>
          <w:lang w:val="uk-UA"/>
        </w:rPr>
        <w:t>пр.Шевченка</w:t>
      </w:r>
      <w:proofErr w:type="spellEnd"/>
      <w:r w:rsidRPr="003702B0">
        <w:rPr>
          <w:b/>
          <w:sz w:val="24"/>
          <w:lang w:val="uk-UA"/>
        </w:rPr>
        <w:t xml:space="preserve"> біля будинку №5 в </w:t>
      </w:r>
      <w:proofErr w:type="spellStart"/>
      <w:r w:rsidRPr="003702B0">
        <w:rPr>
          <w:b/>
          <w:sz w:val="24"/>
          <w:lang w:val="uk-UA"/>
        </w:rPr>
        <w:t>м.Новий</w:t>
      </w:r>
      <w:proofErr w:type="spellEnd"/>
      <w:r w:rsidRPr="003702B0">
        <w:rPr>
          <w:b/>
          <w:sz w:val="24"/>
          <w:lang w:val="uk-UA"/>
        </w:rPr>
        <w:t xml:space="preserve"> Розділ»</w:t>
      </w:r>
    </w:p>
    <w:p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3"/>
        <w:gridCol w:w="964"/>
        <w:gridCol w:w="964"/>
      </w:tblGrid>
      <w:tr w:rsidR="003702B0" w:rsidTr="000E0CC7">
        <w:trPr>
          <w:trHeight w:val="464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3702B0" w:rsidRPr="003702B0" w:rsidRDefault="003702B0" w:rsidP="003702B0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  <w:proofErr w:type="spellEnd"/>
          </w:p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3702B0" w:rsidRDefault="003702B0" w:rsidP="000E0C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  <w:proofErr w:type="spellEnd"/>
          </w:p>
        </w:tc>
      </w:tr>
      <w:tr w:rsidR="003702B0" w:rsidTr="000E0CC7">
        <w:trPr>
          <w:trHeight w:val="412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02B0" w:rsidRDefault="003702B0" w:rsidP="000E0C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2B0" w:rsidRDefault="003702B0" w:rsidP="000E0C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2B0" w:rsidRDefault="003702B0" w:rsidP="000E0C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02B0" w:rsidRDefault="003702B0" w:rsidP="000E0C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Виправлення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профілю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основ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щебеневих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без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нового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1,2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Розливання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в'яжучих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матеріалів</w:t>
            </w:r>
            <w:proofErr w:type="spellEnd"/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: r2(150х0,001)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0,15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Емульсія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дорожна</w:t>
            </w:r>
            <w:proofErr w:type="spellEnd"/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r2(150х0,001)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4 см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із</w:t>
            </w:r>
            <w:proofErr w:type="spellEnd"/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гарячих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сумішей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кожнi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с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0,5 см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шару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норми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18-43-1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(до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Arial" w:hAnsi="Arial" w:cs="Arial"/>
                  <w:i/>
                  <w:iCs/>
                  <w:spacing w:val="-3"/>
                  <w:sz w:val="20"/>
                  <w:szCs w:val="20"/>
                </w:rPr>
                <w:t>5 см</w:t>
              </w:r>
            </w:smartTag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1,5</w:t>
            </w:r>
          </w:p>
        </w:tc>
      </w:tr>
      <w:tr w:rsidR="003702B0" w:rsidTr="000E0CC7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Н1=2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702B0" w:rsidTr="003702B0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02B0" w:rsidRP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702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асфальтобетонні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гарячі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теплі</w:t>
            </w:r>
            <w:proofErr w:type="spellEnd"/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[асфальтобетон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щільний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аеродромні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застосовуються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верхніх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дрібнозернисті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тип</w:t>
            </w:r>
          </w:p>
          <w:p w:rsid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Б, марка 1</w:t>
            </w:r>
          </w:p>
          <w:p w:rsidR="003702B0" w:rsidRPr="003702B0" w:rsidRDefault="003702B0" w:rsidP="003702B0">
            <w:pPr>
              <w:keepLines/>
              <w:autoSpaceDE w:val="0"/>
              <w:autoSpaceDN w:val="0"/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r1(150х0,05х2,4)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P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702B0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B0" w:rsidRPr="003702B0" w:rsidRDefault="003702B0" w:rsidP="003702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702B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</w:tbl>
    <w:p w:rsidR="008E21CF" w:rsidRDefault="008E21CF" w:rsidP="003702B0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8E21CF" w:rsidRDefault="008E21CF" w:rsidP="008E21CF">
      <w:pPr>
        <w:spacing w:after="0" w:line="240" w:lineRule="auto"/>
        <w:ind w:firstLine="720"/>
        <w:contextualSpacing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В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місцях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де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технічна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специфікація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містить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посилання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конкретні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марку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виробника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конкретний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процес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що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характеризує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продукт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послугу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певного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суб’єкта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господарювання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на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торгові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марки,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патенти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типи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конкретне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місце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походження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чи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спосіб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виробництва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вважати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shd w:val="clear" w:color="auto" w:fill="FFFFFF"/>
          <w:lang w:eastAsia="ru-RU"/>
        </w:rPr>
        <w:t>вираз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 "</w:t>
      </w:r>
      <w:proofErr w:type="spellStart"/>
      <w:proofErr w:type="gramEnd"/>
      <w:r>
        <w:rPr>
          <w:i/>
          <w:iCs/>
          <w:sz w:val="20"/>
          <w:szCs w:val="20"/>
          <w:shd w:val="clear" w:color="auto" w:fill="FFFFFF"/>
          <w:lang w:eastAsia="ru-RU"/>
        </w:rPr>
        <w:t>або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i/>
          <w:iCs/>
          <w:sz w:val="20"/>
          <w:szCs w:val="20"/>
          <w:shd w:val="clear" w:color="auto" w:fill="FFFFFF"/>
          <w:lang w:eastAsia="ru-RU"/>
        </w:rPr>
        <w:t>еквівалент</w:t>
      </w:r>
      <w:proofErr w:type="spellEnd"/>
      <w:r>
        <w:rPr>
          <w:i/>
          <w:iCs/>
          <w:sz w:val="20"/>
          <w:szCs w:val="20"/>
          <w:shd w:val="clear" w:color="auto" w:fill="FFFFFF"/>
          <w:lang w:eastAsia="ru-RU"/>
        </w:rPr>
        <w:t>".</w:t>
      </w:r>
    </w:p>
    <w:p w:rsidR="008E21CF" w:rsidRDefault="008E21CF" w:rsidP="00BF52C4">
      <w:pPr>
        <w:spacing w:after="0" w:line="240" w:lineRule="auto"/>
        <w:ind w:firstLine="708"/>
        <w:jc w:val="both"/>
        <w:rPr>
          <w:sz w:val="20"/>
        </w:rPr>
      </w:pPr>
    </w:p>
    <w:p w:rsidR="002F4DB5" w:rsidRDefault="002F4DB5" w:rsidP="00BF52C4">
      <w:pPr>
        <w:spacing w:after="0" w:line="240" w:lineRule="auto"/>
        <w:ind w:firstLine="708"/>
        <w:jc w:val="both"/>
        <w:rPr>
          <w:sz w:val="20"/>
        </w:rPr>
      </w:pPr>
    </w:p>
    <w:sectPr w:rsidR="002F4DB5" w:rsidSect="0032375D">
      <w:headerReference w:type="default" r:id="rId7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993" w:rsidRDefault="009F4993">
      <w:pPr>
        <w:spacing w:after="0" w:line="240" w:lineRule="auto"/>
      </w:pPr>
      <w:r>
        <w:separator/>
      </w:r>
    </w:p>
  </w:endnote>
  <w:endnote w:type="continuationSeparator" w:id="0">
    <w:p w:rsidR="009F4993" w:rsidRDefault="009F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993" w:rsidRDefault="009F4993">
      <w:pPr>
        <w:spacing w:after="0" w:line="240" w:lineRule="auto"/>
      </w:pPr>
      <w:r>
        <w:separator/>
      </w:r>
    </w:p>
  </w:footnote>
  <w:footnote w:type="continuationSeparator" w:id="0">
    <w:p w:rsidR="009F4993" w:rsidRDefault="009F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5C05" w:rsidRPr="00295789" w:rsidRDefault="00285C05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25499"/>
    <w:rsid w:val="00035480"/>
    <w:rsid w:val="00044C20"/>
    <w:rsid w:val="00047B9A"/>
    <w:rsid w:val="0005244C"/>
    <w:rsid w:val="00057B9B"/>
    <w:rsid w:val="00114E60"/>
    <w:rsid w:val="0012296B"/>
    <w:rsid w:val="00122C88"/>
    <w:rsid w:val="00133AC2"/>
    <w:rsid w:val="001527A7"/>
    <w:rsid w:val="00187965"/>
    <w:rsid w:val="001C476C"/>
    <w:rsid w:val="00206B56"/>
    <w:rsid w:val="00220D7F"/>
    <w:rsid w:val="00253626"/>
    <w:rsid w:val="00265E6F"/>
    <w:rsid w:val="00277687"/>
    <w:rsid w:val="00285C05"/>
    <w:rsid w:val="00295789"/>
    <w:rsid w:val="002A25AB"/>
    <w:rsid w:val="002C2CB0"/>
    <w:rsid w:val="002E7707"/>
    <w:rsid w:val="002F4DB5"/>
    <w:rsid w:val="00302DAD"/>
    <w:rsid w:val="003072C3"/>
    <w:rsid w:val="00323074"/>
    <w:rsid w:val="0032375D"/>
    <w:rsid w:val="00334E05"/>
    <w:rsid w:val="00334E6E"/>
    <w:rsid w:val="0034330D"/>
    <w:rsid w:val="00357246"/>
    <w:rsid w:val="003702B0"/>
    <w:rsid w:val="003A18E7"/>
    <w:rsid w:val="003D014A"/>
    <w:rsid w:val="00407C35"/>
    <w:rsid w:val="004115D9"/>
    <w:rsid w:val="00444EE6"/>
    <w:rsid w:val="00482F11"/>
    <w:rsid w:val="00491574"/>
    <w:rsid w:val="004B1107"/>
    <w:rsid w:val="004C1C49"/>
    <w:rsid w:val="004C7FDC"/>
    <w:rsid w:val="00523099"/>
    <w:rsid w:val="00533964"/>
    <w:rsid w:val="00552011"/>
    <w:rsid w:val="005A27CD"/>
    <w:rsid w:val="005E3B15"/>
    <w:rsid w:val="0063645A"/>
    <w:rsid w:val="00637592"/>
    <w:rsid w:val="006B1CD1"/>
    <w:rsid w:val="006C31FC"/>
    <w:rsid w:val="007307A1"/>
    <w:rsid w:val="00773594"/>
    <w:rsid w:val="007A5D28"/>
    <w:rsid w:val="007C05A4"/>
    <w:rsid w:val="007C6180"/>
    <w:rsid w:val="00817DBB"/>
    <w:rsid w:val="00847347"/>
    <w:rsid w:val="00852D13"/>
    <w:rsid w:val="008564D9"/>
    <w:rsid w:val="00890658"/>
    <w:rsid w:val="00897AA3"/>
    <w:rsid w:val="008E21CF"/>
    <w:rsid w:val="00931D42"/>
    <w:rsid w:val="009537CD"/>
    <w:rsid w:val="009617FF"/>
    <w:rsid w:val="00961C9A"/>
    <w:rsid w:val="00961D65"/>
    <w:rsid w:val="00987FB6"/>
    <w:rsid w:val="009A1C76"/>
    <w:rsid w:val="009C1FDF"/>
    <w:rsid w:val="009D000A"/>
    <w:rsid w:val="009D6C69"/>
    <w:rsid w:val="009D7689"/>
    <w:rsid w:val="009E52A4"/>
    <w:rsid w:val="009F4993"/>
    <w:rsid w:val="00A022C6"/>
    <w:rsid w:val="00A14E01"/>
    <w:rsid w:val="00A61C44"/>
    <w:rsid w:val="00A64317"/>
    <w:rsid w:val="00A93A1E"/>
    <w:rsid w:val="00AB3E7B"/>
    <w:rsid w:val="00AF11C2"/>
    <w:rsid w:val="00AF19F0"/>
    <w:rsid w:val="00B353E4"/>
    <w:rsid w:val="00B65565"/>
    <w:rsid w:val="00B70325"/>
    <w:rsid w:val="00B8487E"/>
    <w:rsid w:val="00BC01B3"/>
    <w:rsid w:val="00BC0488"/>
    <w:rsid w:val="00BC05CF"/>
    <w:rsid w:val="00BC5437"/>
    <w:rsid w:val="00BD145E"/>
    <w:rsid w:val="00BD2348"/>
    <w:rsid w:val="00BE17A6"/>
    <w:rsid w:val="00BE1BC7"/>
    <w:rsid w:val="00BF52C4"/>
    <w:rsid w:val="00C23291"/>
    <w:rsid w:val="00C30E0A"/>
    <w:rsid w:val="00C533C6"/>
    <w:rsid w:val="00C566D1"/>
    <w:rsid w:val="00C81BC9"/>
    <w:rsid w:val="00C84076"/>
    <w:rsid w:val="00C90EE9"/>
    <w:rsid w:val="00CA4BD7"/>
    <w:rsid w:val="00CA6AF4"/>
    <w:rsid w:val="00CB2E53"/>
    <w:rsid w:val="00CF6480"/>
    <w:rsid w:val="00D05B16"/>
    <w:rsid w:val="00D77ACD"/>
    <w:rsid w:val="00D87DFA"/>
    <w:rsid w:val="00D91BB0"/>
    <w:rsid w:val="00DC05AE"/>
    <w:rsid w:val="00E0090D"/>
    <w:rsid w:val="00E1597E"/>
    <w:rsid w:val="00E27F99"/>
    <w:rsid w:val="00E33091"/>
    <w:rsid w:val="00E360AA"/>
    <w:rsid w:val="00E61EF7"/>
    <w:rsid w:val="00E6405C"/>
    <w:rsid w:val="00E74B08"/>
    <w:rsid w:val="00E80C9A"/>
    <w:rsid w:val="00E82FB9"/>
    <w:rsid w:val="00F03DF3"/>
    <w:rsid w:val="00F2055E"/>
    <w:rsid w:val="00FC0563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5A09B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  <w:style w:type="paragraph" w:customStyle="1" w:styleId="xl134">
    <w:name w:val="xl134"/>
    <w:basedOn w:val="a"/>
    <w:rsid w:val="004B110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5">
    <w:name w:val="xl135"/>
    <w:basedOn w:val="a"/>
    <w:rsid w:val="004B11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6">
    <w:name w:val="xl13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7">
    <w:name w:val="xl137"/>
    <w:basedOn w:val="a"/>
    <w:rsid w:val="004B110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8">
    <w:name w:val="xl138"/>
    <w:basedOn w:val="a"/>
    <w:rsid w:val="004B110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9">
    <w:name w:val="xl13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0">
    <w:name w:val="xl14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41">
    <w:name w:val="xl141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42">
    <w:name w:val="xl142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43">
    <w:name w:val="xl143"/>
    <w:basedOn w:val="a"/>
    <w:rsid w:val="004B110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4">
    <w:name w:val="xl144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5">
    <w:name w:val="xl145"/>
    <w:basedOn w:val="a"/>
    <w:rsid w:val="004B1107"/>
    <w:pP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6">
    <w:name w:val="xl146"/>
    <w:basedOn w:val="a"/>
    <w:rsid w:val="004B1107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47">
    <w:name w:val="xl147"/>
    <w:basedOn w:val="a"/>
    <w:rsid w:val="004B11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8">
    <w:name w:val="xl148"/>
    <w:basedOn w:val="a"/>
    <w:rsid w:val="004B1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49">
    <w:name w:val="xl149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50">
    <w:name w:val="xl150"/>
    <w:basedOn w:val="a"/>
    <w:rsid w:val="004B1107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77</cp:revision>
  <dcterms:created xsi:type="dcterms:W3CDTF">2021-02-15T15:58:00Z</dcterms:created>
  <dcterms:modified xsi:type="dcterms:W3CDTF">2023-12-06T10:17:00Z</dcterms:modified>
</cp:coreProperties>
</file>