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2376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b w:val="1"/>
          <w:color w:val="000000"/>
          <w:sz w:val="24"/>
        </w:rPr>
      </w:pPr>
      <w:bookmarkStart w:id="0" w:name="_Hlk113523203"/>
      <w:bookmarkStart w:id="1" w:name="_Hlk114666526"/>
      <w:r>
        <w:rPr>
          <w:rFonts w:ascii="Times New Roman" w:hAnsi="Times New Roman"/>
          <w:b w:val="1"/>
          <w:color w:val="000000"/>
          <w:sz w:val="24"/>
        </w:rPr>
        <w:t xml:space="preserve">Додаток № 2 </w:t>
      </w:r>
    </w:p>
    <w:p>
      <w:pPr>
        <w:widowControl w:val="0"/>
        <w:suppressAutoHyphens w:val="1"/>
        <w:spacing w:lineRule="auto" w:line="240" w:after="0" w:beforeAutospacing="0" w:afterAutospacing="0"/>
        <w:jc w:val="right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до тендерної документації</w:t>
      </w: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ІНФОРМАЦІЯ ПРО ТЕХНІЧНІ, ЯКІСНІ ТА КІЛЬКІСНІ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ХАРАКТЕРИСТИКИ ПРЕДМЕТА ЗАКУПІВЛІ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(Технічні вимоги)</w:t>
      </w:r>
    </w:p>
    <w:p>
      <w:pPr>
        <w:pStyle w:val="P1"/>
        <w:jc w:val="center"/>
        <w:rPr>
          <w:rFonts w:ascii="Times New Roman CYR" w:hAnsi="Times New Roman CYR"/>
          <w:b w:val="1"/>
          <w:sz w:val="24"/>
        </w:rPr>
      </w:pPr>
    </w:p>
    <w:p>
      <w:pPr>
        <w:tabs>
          <w:tab w:val="left" w:pos="3870" w:leader="none"/>
          <w:tab w:val="left" w:pos="4275" w:leader="none"/>
        </w:tabs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b w:val="1"/>
          <w:sz w:val="24"/>
        </w:rPr>
      </w:pPr>
      <w:bookmarkEnd w:id="0"/>
      <w:bookmarkEnd w:id="1"/>
      <w:r>
        <w:rPr>
          <w:rFonts w:ascii="Times New Roman" w:hAnsi="Times New Roman"/>
          <w:b w:val="1"/>
          <w:color w:val="000000"/>
          <w:sz w:val="24"/>
        </w:rPr>
        <w:t>код по ДК 021:2015 – 15540000-5 Сирні продукти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У разі, якщо дані технічні вимоги містять посилання на конкретну марку, фірму, патент, конструкцію або тип товару, то вважається, що технічні вимоги містить(ять) вираз "або еквівалент".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142" w:leader="none"/>
          <w:tab w:val="left" w:pos="3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1. Строк (термін) поставки (передачі) товару:</w:t>
      </w:r>
      <w:r>
        <w:rPr>
          <w:rFonts w:ascii="Times New Roman" w:hAnsi="Times New Roman"/>
          <w:b w:val="1"/>
          <w:sz w:val="24"/>
        </w:rPr>
        <w:t xml:space="preserve"> з дати укладення договору про закупівлю 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- до 31.12.2024 року включно</w:t>
      </w:r>
    </w:p>
    <w:p>
      <w:pPr>
        <w:pStyle w:val="P9"/>
        <w:shd w:val="clear" w:fill="auto"/>
        <w:tabs>
          <w:tab w:val="left" w:pos="689" w:leader="none"/>
        </w:tabs>
        <w:spacing w:lineRule="auto" w:line="240" w:before="0" w:beforeAutospacing="0" w:afterAutospacing="0"/>
        <w:ind w:left="-1"/>
        <w:contextualSpacing w:val="1"/>
        <w:rPr>
          <w:b w:val="1"/>
          <w:sz w:val="24"/>
        </w:rPr>
      </w:pPr>
      <w:r>
        <w:rPr>
          <w:b w:val="1"/>
          <w:sz w:val="24"/>
        </w:rPr>
        <w:t>2. Обсяг поставки:</w:t>
      </w:r>
    </w:p>
    <w:p>
      <w:pPr>
        <w:pStyle w:val="P9"/>
        <w:shd w:val="clear" w:fill="auto"/>
        <w:tabs>
          <w:tab w:val="left" w:pos="689" w:leader="none"/>
        </w:tabs>
        <w:spacing w:lineRule="auto" w:line="240" w:before="0" w:beforeAutospacing="0" w:afterAutospacing="0"/>
        <w:ind w:left="-1"/>
        <w:contextualSpacing w:val="1"/>
        <w:rPr>
          <w:b w:val="1"/>
          <w:sz w:val="24"/>
          <w:shd w:val="clear" w:fill="FFFFFF"/>
        </w:rPr>
      </w:pPr>
      <w:r>
        <w:rPr>
          <w:b w:val="1"/>
          <w:sz w:val="24"/>
        </w:rPr>
        <w:t xml:space="preserve">Сир твердий 50% - </w:t>
      </w:r>
      <w:r>
        <w:rPr>
          <w:b w:val="1"/>
          <w:sz w:val="24"/>
        </w:rPr>
        <w:t>1150</w:t>
      </w:r>
      <w:r>
        <w:rPr>
          <w:b w:val="1"/>
          <w:sz w:val="24"/>
          <w:shd w:val="clear" w:fill="FFFFFF"/>
        </w:rPr>
        <w:t xml:space="preserve"> кг,</w:t>
      </w:r>
    </w:p>
    <w:p>
      <w:pPr>
        <w:pStyle w:val="P9"/>
        <w:shd w:val="clear" w:fill="auto"/>
        <w:tabs>
          <w:tab w:val="left" w:pos="689" w:leader="none"/>
        </w:tabs>
        <w:spacing w:lineRule="auto" w:line="240" w:before="0" w:beforeAutospacing="0" w:afterAutospacing="0"/>
        <w:ind w:left="-1"/>
        <w:contextualSpacing w:val="1"/>
        <w:rPr>
          <w:b w:val="1"/>
          <w:sz w:val="24"/>
        </w:rPr>
      </w:pPr>
      <w:r>
        <w:rPr>
          <w:b w:val="1"/>
          <w:sz w:val="24"/>
          <w:shd w:val="clear" w:fill="FFFFFF"/>
        </w:rPr>
        <w:t xml:space="preserve">Сир кисломолочний 9% - </w:t>
      </w:r>
      <w:r>
        <w:rPr>
          <w:b w:val="1"/>
          <w:sz w:val="24"/>
          <w:shd w:val="clear" w:fill="FFFFFF"/>
        </w:rPr>
        <w:t>3000</w:t>
      </w:r>
      <w:r>
        <w:rPr>
          <w:b w:val="1"/>
          <w:sz w:val="24"/>
          <w:shd w:val="clear" w:fill="FFFFFF"/>
        </w:rPr>
        <w:t xml:space="preserve"> кг.</w:t>
      </w:r>
      <w:r>
        <w:rPr>
          <w:b w:val="1"/>
          <w:sz w:val="24"/>
        </w:rPr>
        <w:t xml:space="preserve"> </w:t>
      </w:r>
    </w:p>
    <w:p>
      <w:pPr>
        <w:pStyle w:val="P4"/>
        <w:spacing w:lineRule="auto" w:line="240" w:beforeAutospacing="0" w:afterAutospacing="0"/>
        <w:ind w:firstLine="0"/>
        <w:rPr>
          <w:b w:val="1"/>
          <w:i w:val="1"/>
        </w:rPr>
      </w:pPr>
      <w:r>
        <w:t xml:space="preserve">3. Місце поставки (передачі) товару - </w:t>
      </w:r>
      <w:r>
        <w:rPr>
          <w:b w:val="1"/>
        </w:rPr>
        <w:t>з</w:t>
      </w:r>
      <w:r>
        <w:rPr>
          <w:b w:val="1"/>
          <w:i w:val="1"/>
        </w:rPr>
        <w:t xml:space="preserve">аклади </w:t>
      </w:r>
      <w:r>
        <w:rPr>
          <w:b w:val="1"/>
          <w:i w:val="1"/>
        </w:rPr>
        <w:t xml:space="preserve">відділу </w:t>
      </w:r>
      <w:r>
        <w:rPr>
          <w:b w:val="1"/>
          <w:i w:val="1"/>
        </w:rPr>
        <w:t>освіти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Замовника: 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Списки   закладів освіти Кривоозерської селищної ради 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8"/>
        </w:rPr>
      </w:pPr>
    </w:p>
    <w:tbl>
      <w:tblPr>
        <w:tblW w:w="9889" w:type="dxa"/>
        <w:tblInd w:w="0" w:type="dxa"/>
        <w:tblLayout w:type="fixed"/>
        <w:tblLook w:val="01E0"/>
      </w:tblPr>
      <w:tblGrid/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 школи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Адреса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Багачівська гімназія 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55152,Миколаївська обл.,Первомайський район,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с.Багачівка,вул. Шкільна, 26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Бурилівський ліцей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55120,Миколаївська обл., 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с.Бурилове,вул. Молодіжна, 83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Великомечетнянський ліцей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55130,Миколаївська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с.Велика Мечетня, вул. Голембієвського,70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Голосківська гімназія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55123,Миколаївська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Голоскове, пров. Шкільний, 13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Красненьківська гімназія  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55206,Миколаївська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Красненьке,вул. Центральна, 10В/1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Комунальний заклад Кривоозерський ліцей № 1 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55104,Миколаївська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смт.Криве Озеро,вул. Центральна, 153 корпус А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Кривоозерський ліцей №2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55103,Миколаївська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 Криве Озеро, вул. Горького, 252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Курячелозівська гімназія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55120,Миколаївська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Курячі Лози, вул. Центральна, 60а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Луканівська гімназія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55113,Миколаївська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Луканівка, вул. Степова, 94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Секретарська гімназія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55142,Миколаївська обл., 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 Секретарка,вул. Миру, 2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Тридубський ліцей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55140,Миколаївська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Тридуби,вул.1 Травня, 47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Березківська гімназія ім. О. Галущинського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55114,Миколаївська обл.,Первомайський район</w:t>
            </w:r>
          </w:p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Берізки,вул.45 років Перемоги, 1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Кривоозерська гімназія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55103,Миколаївська обл.,Первомайський район</w:t>
            </w:r>
          </w:p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с. Криве Озеро,вул. Горького, 365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Гойдаївська філія комунального закладу Кривоозерський ліцей №1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55151,Миколаївська обл., 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Гойдаї,вул. Петровського, 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Мазурівська філія комунального закладу Кривоозерський ліцей №1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55110,Миколаївська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Мазурове, вул. Польова,27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комунальний заклад «Очеретнянський заклад загальної середньої освіти І-ІІ ступенів з дошкільним підрозділом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55111,Миколаївська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Очеретня, вул.Космонавтів,23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22"/>
        </w:trP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комунальна установа «Голосківський заклад дошкільної освіти «Золотий ключик» 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55123,Миколаївська область,Первомайський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 Ониськове, вул. Центральна,43</w:t>
            </w: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комунальна установа «Секретарський заклад дошкільної освіти «Дзвіночок» 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55142,Миколаївська область, 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село Секретарка,вул.Миру 4-А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комунальна установа «Кривоозерський заклад дошкільної освіти № 4 «Казка»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55104,Миколаївська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смт Криве Озеро,вул. Лермонтова,8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комунальна установа «Тридубський заклад дошкільної освіти № 2 «Веселка» 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55140,Миколаївська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 Тридуби ,провулок Садовий,2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комунальна установа «Бурилівський заклад дошкільної освіти «Пролісок»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55150 ,Миколаївська обл., 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село Бурилове ,вулиця Молодіжна,10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комунальна установа «Кривоозерський заклад дошкільної освіти № 5 «Тополька» 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55103, Миколаївська обл..,Первомайський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с.Криве Озеро, вул. Космонавтів,35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комунальна установа «Курячелозівський заклад дошкільної освіти «Сонечко» 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55120, 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село Курячі Лози,вул. Нова,21-А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комунальна установа «Красненьківський заклад дошкільної освіти «Колосок»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55121,Миколаївська обл., 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 Красненьке, вул. Центральна,10Д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комунальна установа «Великомечетнянський заклад дошкільної освіти «Бригантина»  Кривоозерської селищної ради»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55130,Миколаївська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село Велика Мечетня, вул. Адмірала Завойка,1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комунальна установа Кривоозерський заклад дошкільної освіти № 1 «Малятко»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55103,Миколаївська обл.,Первомайський район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смт  Криве Озеро, вул. Садова, 24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0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Комунальна установа Мазурівський заклад дошкільної освіти «Попелюшка» Кривоозерської селищної ради</w:t>
            </w:r>
          </w:p>
        </w:tc>
        <w:tc>
          <w:tcPr>
            <w:tcW w:w="524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55110,</w:t>
            </w:r>
            <w:r>
              <w:rPr>
                <w:rFonts w:ascii="Times New Roman" w:hAnsi="Times New Roman"/>
                <w:color w:val="000000"/>
                <w:sz w:val="24"/>
              </w:rPr>
              <w:t>Миколаївська обл., Первомайський район,</w:t>
            </w:r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 Мазурове,вулиця Польова, 27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142" w:leader="none"/>
          <w:tab w:val="left" w:pos="360" w:leader="none"/>
        </w:tabs>
        <w:spacing w:lineRule="auto" w:line="240" w:after="0" w:beforeAutospacing="0" w:afterAutospacing="0"/>
        <w:jc w:val="both"/>
        <w:rPr>
          <w:rStyle w:val="C6"/>
          <w:rFonts w:ascii="Times New Roman" w:hAnsi="Times New Roman"/>
          <w:b w:val="1"/>
        </w:rPr>
      </w:pPr>
    </w:p>
    <w:p>
      <w:pPr>
        <w:tabs>
          <w:tab w:val="left" w:pos="142" w:leader="none"/>
          <w:tab w:val="left" w:pos="3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4. Поставка товару здійснюється окремими партіями не рідше, ніж один раз на тиждень за заявкою Замовника (його представника), що погоджуються сторонами в залежності від фактичної потреби Замовника, але не пізніше ніж через 3 дні з дати заяви/звернення Замовника щодо необхідних обсягів та дати поставки товару. Періодичність поставки – за потребою Замовника. </w:t>
      </w:r>
    </w:p>
    <w:p>
      <w:pPr>
        <w:spacing w:lineRule="auto" w:line="240" w:after="0" w:beforeAutospacing="0" w:afterAutospacing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Поставка товару здійснюється автотранспортом учасника</w:t>
      </w:r>
      <w:r>
        <w:rPr>
          <w:rFonts w:ascii="Times New Roman" w:hAnsi="Times New Roman"/>
          <w:sz w:val="24"/>
        </w:rPr>
        <w:t xml:space="preserve"> у робочі дні з 8 год. до 18 год., враховуючи умови, запропоновані учасником в його ціновій пропозиції. Доставку та розвантаження товару здійснює Постачальник за свій рахунок (чи/або своїми силами). Доставка має бути здійснена спеціалізованим автотранспортом з дотриманням правил перевезення відповідного товару, визначеним законодавством.</w:t>
      </w:r>
    </w:p>
    <w:p>
      <w:pPr>
        <w:tabs>
          <w:tab w:val="left" w:pos="3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3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b w:val="1"/>
          <w:sz w:val="24"/>
        </w:rPr>
        <w:t>Технічні та якісні характеристики товару:</w:t>
      </w:r>
    </w:p>
    <w:p>
      <w:pPr>
        <w:suppressAutoHyphens w:val="1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Постачання продуктів повинно здійснюватися у відповідності до Закону України «Про основні принципи та вимоги до безпечності та якості харчових продуктів», постанови Кабінету Міністрів України від 24.03.2021 № 305 «</w:t>
      </w:r>
      <w:r>
        <w:rPr>
          <w:rFonts w:ascii="Times New Roman" w:hAnsi="Times New Roman"/>
          <w:sz w:val="24"/>
          <w:shd w:val="clear" w:fill="FFFFFF"/>
        </w:rPr>
        <w:t>Про затвердження норм та Порядку організації харчування у закладах освіти та дитячих закладах оздоровлення та відпочинку», н</w:t>
      </w:r>
      <w:r>
        <w:rPr>
          <w:rFonts w:ascii="Times New Roman" w:hAnsi="Times New Roman"/>
          <w:sz w:val="24"/>
        </w:rPr>
        <w:t xml:space="preserve">аказу Міністерства охорони здоров’я України, Міністерства освіти і науки України від 01.06.2005              № 242/329 «Порядок організації харчування дітей у навчальних та оздоровчих закладах»; наказу Міністерства освіти і науки України та Міністерства охорони здоров’я України від 15.08.2006           № 620/563 «Щодо невідкладних заходів з організації харчування дітей у дошкільних, загальноосвітніх, позашкільних навчальних закладах».</w:t>
      </w:r>
    </w:p>
    <w:p>
      <w:pPr>
        <w:tabs>
          <w:tab w:val="left" w:pos="3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tbl>
      <w:tblPr>
        <w:tblW w:w="10065" w:type="dxa"/>
        <w:tblInd w:w="108" w:type="dxa"/>
        <w:tblLayout w:type="fixed"/>
      </w:tblPr>
      <w:tblGrid/>
      <w:tr>
        <w:trPr>
          <w:trHeight w:hRule="atLeast" w:val="828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tabs>
                <w:tab w:val="left" w:pos="6285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tabs>
                <w:tab w:val="left" w:pos="6285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Найменування товару</w:t>
            </w:r>
          </w:p>
        </w:tc>
        <w:tc>
          <w:tcPr>
            <w:tcW w:w="7797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left" w:pos="6285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Технічні та якісні характеристики</w:t>
            </w:r>
          </w:p>
        </w:tc>
      </w:tr>
      <w:tr>
        <w:trPr>
          <w:trHeight w:hRule="atLeast" w:val="5808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твердий 50%</w:t>
            </w:r>
          </w:p>
        </w:tc>
        <w:tc>
          <w:tcPr>
            <w:tcW w:w="7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Сир твердий з масовою часткою жиру 50%  з молока коров’ячого незбираного не нижче першого ґатунку. Не повинен мати дефектів кірки сирів, а саме: осипання парафіну, загнивання, блідості, розтріскування, пліснявіння. Не допускається постачання сиру згірклого, пліснявілого, з тухлим і сальним присмаками, запахами нафтопродуктів, хімікатів, з сторонніми домішками, з загубленою формою (розплавлені, здуті), з "гнильним колодязем", значними тріщинами, з глибокою зачисткою (більш ніж 2-3 см), з дуже підіпрілою кіркою, з порушенням герметичності плівки. Сир не повинен бути мокрим і клейкуватим. Колір однорідний за всією масою, від світло-жовтого до жовтого. 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 повинен відповідати ДСТУ 6003:2008. Сири тверді. Загальні технічні умови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Маркування сиру твердого повинно містити назву продукту із зазначенням масової частки жиру, інформаційні дані про харчову та енергетичну цінність 100 г продукту, назву та адресу підприємства-виробника і місце виготовлення, масу нетто одиниці пакування, склад продукту у порядку переваги складників, кінцеву дату споживання «Вжити до» або дату виробництва та строк придатності, умови зберігання.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 продукті не повинні використовуватися жири та білки немолочного походження, а також будь-які стабілізатори і консерванти ГМО, тощо.</w:t>
            </w:r>
          </w:p>
        </w:tc>
      </w:tr>
      <w:tr>
        <w:trPr>
          <w:trHeight w:hRule="atLeast" w:val="5131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nil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nil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кисломолоч-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ний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9%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 кисломолочний ваговий 9% жирності повинен мати чистий кисломолочний смак і запах. Консистенція його повинна бути ніжною, однорідною, розсипчастою, з незначним виділенням сироватки. У продукті не повинні використовуватися жири та білки немолочного походження, а також будь-які стабілізатори і консерванти. Тара і матеріали, що використовуються для пакування сиру кисломолочного вагового 9% жирності, повинні відповідати вимогам законодавчих нормативних технічних документів. Не повинно містити небезпечні для організму людини речовини, у тому числі штучні барвники, консерванти, ароматизатори, ГМО, тощо.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повинен відповідати ДСТУ 4554:2006 Сир кисломолочний. Технічні умови.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"Про основні принципи та вимоги до безпечності якості харчових продуктів", вказаному ДСТУ.</w:t>
            </w:r>
          </w:p>
          <w:p>
            <w:pPr>
              <w:widowControl w:val="0"/>
              <w:tabs>
                <w:tab w:val="left" w:pos="4489" w:leader="none"/>
              </w:tabs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Розфасований від 1,0 до 5,0 кг</w:t>
            </w:r>
          </w:p>
          <w:p>
            <w:pPr>
              <w:widowControl w:val="0"/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Термін придатності  5 - 7 діб.</w:t>
            </w:r>
          </w:p>
        </w:tc>
      </w:tr>
    </w:tbl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Замовник має право вимагати у Постачальника проведення лабораторного аналізу (за рахунок Постачальника) продукції в лабораторії, що має акредитацію відповідно до Держстандарту України, з видачею результатів аналізу на руки Замовнику.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 гігієнічним вимогам. Такий документ повинен бути діючим з урахуванням терміну реалізації товару.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Прийом - передача Товару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Неякісний товар підлягає обов’язковій заміні, але всі витрати пов’язані із заміною товару несе постачальник</w:t>
      </w: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Відповідно до Закону України «Про основні принципи та вимоги до безпечності та якості харчових продуктів» від 23.12.1997 № 771/97-ВР (зі змінами) для підтвердження безпечності та якості продукції,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учаснику необхідно подати в складі пропозиції наступні документи:</w:t>
      </w: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7.1. К</w:t>
      </w:r>
      <w:r>
        <w:rPr>
          <w:rFonts w:ascii="Times New Roman" w:hAnsi="Times New Roman"/>
          <w:sz w:val="24"/>
        </w:rPr>
        <w:t xml:space="preserve">опії (скан-копії оригіналів) документів, що засвідчують якість та безпеку запропонованої продукції, наявність яких передбачена чинним законодавством, а саме: декларація виробника, посвідчення про якість, сертифікати відповідності (для продукції, яка підлягає обов'язковій сертифікації); копії протоколів випробувань харчової продукції, видані відповідною акредитованою лабораторією, експертних висновків та протоколів (експертних висновків) досліджень на ГМО, досліджень на вміст немолочних жирів, виданих не раніше 2023  року.</w:t>
      </w: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ДЕКЛАРАЦІЯ ПОСТАЧАЛЬНИКА ПРО ВІДПОВІДНІСТЬ складена відповідно  до вимог ДСТУ ISO/IEC 17050-1:2006 та ДСТУ ISO/IEC 17050-2:2006.</w:t>
      </w:r>
    </w:p>
    <w:p>
      <w:pPr>
        <w:widowControl w:val="0"/>
        <w:tabs>
          <w:tab w:val="left" w:pos="0" w:leader="none"/>
          <w:tab w:val="left" w:pos="142" w:leader="none"/>
          <w:tab w:val="left" w:pos="567" w:leader="none"/>
        </w:tabs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7.3. Рішення про </w:t>
      </w:r>
      <w:r>
        <w:rPr>
          <w:rFonts w:ascii="Times New Roman" w:hAnsi="Times New Roman"/>
          <w:color w:val="000000"/>
          <w:sz w:val="24"/>
        </w:rPr>
        <w:t xml:space="preserve">реєстрацію потужностей операторів ринку або експлуатаційний дозвіл, </w:t>
      </w:r>
      <w:r>
        <w:rPr>
          <w:rFonts w:ascii="Times New Roman" w:hAnsi="Times New Roman"/>
          <w:sz w:val="24"/>
        </w:rPr>
        <w:t xml:space="preserve"> якщо Учасник є виробником. При цьому Учасники, які не є виробниками надають експлуатаційний дозвіл на виробника запропонованого товару.</w:t>
      </w:r>
    </w:p>
    <w:p>
      <w:pPr>
        <w:widowControl w:val="0"/>
        <w:tabs>
          <w:tab w:val="left" w:pos="0" w:leader="none"/>
          <w:tab w:val="left" w:pos="142" w:leader="none"/>
          <w:tab w:val="left" w:pos="567" w:leader="none"/>
        </w:tabs>
        <w:suppressAutoHyphens w:val="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7.4. Сертифікат на систему управління безпечністю харчових продуктів ДСТУ ISO 22000:2019 «Система управління безпечністю харчових продуктів. Вимоги до будь-яких організацій в харчовому ланцюгу» (ISO 22000:2018, ITD), який підтверджує впровадження, застосування та постійну дію процедур, заснованих на принципах системи аналізу небезпечних факторів та контролю у критичних точках стосовно предмета закупівлі.</w:t>
      </w: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7.5. Акт Держпродспоживслужби, складений у 2023 році за результатами проведення планового (позапланового) заходу державного контролю (інспектування) стосовно дотримання операторами ринку (Учасником - виробником) вимог законодавства про харчові продукти, згідно Наказу Мінекономіки від 21.01.2022  № 143-22 без виявлених порушень. У випадку якщо Учасник не є виробником, Учасник надає зазначений документ від безпосереднього виробника запропонованого товару.</w:t>
      </w:r>
    </w:p>
    <w:p>
      <w:pPr>
        <w:pStyle w:val="P8"/>
        <w:tabs>
          <w:tab w:val="left" w:pos="348" w:leader="none"/>
        </w:tabs>
        <w:ind w:firstLine="253" w:left="0"/>
        <w:jc w:val="both"/>
        <w:rPr>
          <w:b w:val="1"/>
          <w:sz w:val="24"/>
        </w:rPr>
      </w:pPr>
      <w:r>
        <w:rPr>
          <w:sz w:val="24"/>
        </w:rPr>
        <w:t xml:space="preserve">    7.6. Відповідальність за безпечність і якість продуктів харчування покладається  на постачальника харчових продуктів (п. 11 Порядку</w:t>
      </w:r>
      <w:r>
        <w:rPr>
          <w:sz w:val="24"/>
          <w:shd w:val="clear" w:fill="FFFFFF"/>
        </w:rPr>
        <w:t xml:space="preserve">  організації харчування у закладах освіти та дитячих закладах оздоровлення та відпочинку, затвердженого </w:t>
      </w:r>
      <w:r>
        <w:rPr>
          <w:sz w:val="24"/>
        </w:rPr>
        <w:t xml:space="preserve">постановою Кабінету Міністрів України від 24.03.2021 № 305).  </w:t>
      </w:r>
      <w:r>
        <w:rPr>
          <w:b w:val="1"/>
          <w:sz w:val="24"/>
        </w:rPr>
        <w:t>Учасник у складі пропозиції надає гарантійний лист, яким засвідчує свою повну відповідальність за якість (у разі якщо учасник є виробником) та безпеку (у разі якщо учасник є тільки постачальником) продуктів харчування, що ним постачатимуться.</w:t>
      </w: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7.7. </w:t>
      </w:r>
      <w:r>
        <w:rPr>
          <w:rStyle w:val="C4"/>
          <w:b w:val="1"/>
          <w:sz w:val="24"/>
        </w:rPr>
        <w:t>Учасник, якщо він не є виробником, в обов'язковому порядку подає у складі пропозиції лист про співпрацю в оригіналі за підписом і з відтиском печатки від виробника, у якого учасник отримує товар, що планує постачати у випадку перемоги Замовнику, а також копію відповідного договору, що підтверджує правовідносини учасника з особою, яка надала лист про співпрацю.</w:t>
      </w:r>
      <w:r>
        <w:rPr>
          <w:rFonts w:ascii="Calibri" w:hAnsi="Calibri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Договір має бути чинним протягом терміну постачання товару. </w:t>
      </w: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</w:p>
    <w:sectPr>
      <w:headerReference xmlns:r="http://schemas.openxmlformats.org/officeDocument/2006/relationships" w:type="default" r:id="RelHdr1"/>
      <w:type w:val="nextPage"/>
      <w:pgMar w:left="1417" w:right="850" w:top="850" w:bottom="850" w:header="708" w:footer="708" w:gutter="0"/>
      <w:cols w:equalWidth="1" w:space="72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6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hybridMultilevel"/>
    <w:lvl w:ilvl="0">
      <w:start w:val="1"/>
      <w:numFmt w:val="decimal"/>
      <w:suff w:val="tab"/>
      <w:lvlText w:val="%1."/>
      <w:lvlJc w:val="left"/>
      <w:pPr>
        <w:ind w:firstLine="0" w:left="0"/>
        <w:tabs>
          <w:tab w:val="left" w:pos="254" w:leader="none"/>
        </w:tabs>
      </w:pPr>
      <w:rPr>
        <w:rFonts w:ascii="Times New Roman" w:hAnsi="Times New Roman"/>
        <w:color w:val="auto"/>
        <w:sz w:val="24"/>
      </w:rPr>
    </w:lvl>
    <w:lvl w:ilvl="1" w:tplc="6647A7C1">
      <w:start w:val="1"/>
      <w:numFmt w:val="decimal"/>
      <w:suff w:val="tab"/>
      <w:lvlText w:val="%1."/>
      <w:lvlJc w:val="left"/>
      <w:pPr/>
      <w:rPr/>
    </w:lvl>
    <w:lvl w:ilvl="2" w:tplc="223FC084">
      <w:start w:val="1"/>
      <w:numFmt w:val="decimal"/>
      <w:suff w:val="tab"/>
      <w:lvlText w:val="%1."/>
      <w:lvlJc w:val="left"/>
      <w:pPr/>
      <w:rPr/>
    </w:lvl>
    <w:lvl w:ilvl="3" w:tplc="506A634C">
      <w:start w:val="1"/>
      <w:numFmt w:val="decimal"/>
      <w:suff w:val="tab"/>
      <w:lvlText w:val="%1."/>
      <w:lvlJc w:val="left"/>
      <w:pPr/>
      <w:rPr/>
    </w:lvl>
    <w:lvl w:ilvl="4" w:tplc="708264C2">
      <w:start w:val="1"/>
      <w:numFmt w:val="decimal"/>
      <w:suff w:val="tab"/>
      <w:lvlText w:val="%1."/>
      <w:lvlJc w:val="left"/>
      <w:pPr/>
      <w:rPr/>
    </w:lvl>
    <w:lvl w:ilvl="5" w:tplc="339087CC">
      <w:start w:val="1"/>
      <w:numFmt w:val="decimal"/>
      <w:suff w:val="tab"/>
      <w:lvlText w:val="%1."/>
      <w:lvlJc w:val="left"/>
      <w:pPr/>
      <w:rPr/>
    </w:lvl>
    <w:lvl w:ilvl="6" w:tplc="652DB63B">
      <w:start w:val="1"/>
      <w:numFmt w:val="decimal"/>
      <w:suff w:val="tab"/>
      <w:lvlText w:val="%1."/>
      <w:lvlJc w:val="left"/>
      <w:pPr/>
      <w:rPr/>
    </w:lvl>
    <w:lvl w:ilvl="7" w:tplc="73F82A3A">
      <w:start w:val="1"/>
      <w:numFmt w:val="decimal"/>
      <w:suff w:val="tab"/>
      <w:lvlText w:val="%1."/>
      <w:lvlJc w:val="left"/>
      <w:pPr/>
      <w:rPr/>
    </w:lvl>
    <w:lvl w:ilvl="8" w:tplc="26AF2164">
      <w:start w:val="1"/>
      <w:numFmt w:val="decimal"/>
      <w:suff w:val="tab"/>
      <w:lvlText w:val="%1."/>
      <w:lvlJc w:val="left"/>
      <w:pPr/>
      <w:rPr/>
    </w:lvl>
  </w:abstractNum>
  <w:abstractNum w:abstractNumId="1">
    <w:nsid w:val="1DF04150"/>
    <w:multiLevelType w:val="hybridMultilevel"/>
    <w:lvl w:ilvl="0" w:tplc="2B00062C">
      <w:start w:val="5"/>
      <w:numFmt w:val="bullet"/>
      <w:suff w:val="tab"/>
      <w:lvlText w:val="-"/>
      <w:lvlJc w:val="left"/>
      <w:pPr>
        <w:ind w:hanging="360" w:left="785"/>
        <w:tabs>
          <w:tab w:val="left" w:pos="785" w:leader="none"/>
        </w:tabs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505"/>
        <w:tabs>
          <w:tab w:val="left" w:pos="1505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25"/>
        <w:tabs>
          <w:tab w:val="left" w:pos="2225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45"/>
        <w:tabs>
          <w:tab w:val="left" w:pos="2945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65"/>
        <w:tabs>
          <w:tab w:val="left" w:pos="3665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85"/>
        <w:tabs>
          <w:tab w:val="left" w:pos="4385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05"/>
        <w:tabs>
          <w:tab w:val="left" w:pos="5105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25"/>
        <w:tabs>
          <w:tab w:val="left" w:pos="5825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45"/>
        <w:tabs>
          <w:tab w:val="left" w:pos="6545" w:leader="none"/>
        </w:tabs>
      </w:pPr>
      <w:rPr>
        <w:rFonts w:ascii="Wingdings" w:hAnsi="Wingdings"/>
      </w:rPr>
    </w:lvl>
  </w:abstractNum>
  <w:abstractNum w:abstractNumId="2">
    <w:nsid w:val="354D0A0F"/>
    <w:multiLevelType w:val="hybridMultilevel"/>
    <w:lvl w:ilvl="0" w:tplc="86D076E6">
      <w:start w:val="10"/>
      <w:numFmt w:val="decimal"/>
      <w:suff w:val="tab"/>
      <w:lvlText w:val="%1."/>
      <w:lvlJc w:val="left"/>
      <w:pPr>
        <w:ind w:hanging="360" w:left="7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79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51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23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295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67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39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11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5836"/>
      </w:pPr>
      <w:rPr/>
    </w:lvl>
  </w:abstractNum>
  <w:abstractNum w:abstractNumId="3">
    <w:nsid w:val="4E30598D"/>
    <w:multiLevelType w:val="hybridMultilevel"/>
    <w:lvl w:ilvl="0" w:tplc="A5CC24B2">
      <w:start w:val="8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  <w:color w:val="auto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5039705E"/>
    <w:multiLevelType w:val="hybridMultilevel"/>
    <w:lvl w:ilvl="0" w:tplc="7E343304">
      <w:start w:val="1"/>
      <w:numFmt w:val="decimal"/>
      <w:suff w:val="tab"/>
      <w:lvlText w:val="%1)"/>
      <w:lvlJc w:val="left"/>
      <w:pPr>
        <w:ind w:hanging="360" w:left="1260"/>
      </w:pPr>
      <w:rPr>
        <w:b w:val="1"/>
      </w:rPr>
    </w:lvl>
    <w:lvl w:ilvl="1" w:tplc="2000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2000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2000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2000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2000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2000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2000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2000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">
    <w:nsid w:val="60207702"/>
    <w:multiLevelType w:val="hybridMultilevel"/>
    <w:lvl w:ilvl="0" w:tplc="F60CD8F0">
      <w:start w:val="1"/>
      <w:numFmt w:val="decimal"/>
      <w:suff w:val="tab"/>
      <w:lvlText w:val="%1."/>
      <w:lvlJc w:val="left"/>
      <w:pPr>
        <w:ind w:hanging="360" w:left="360"/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6F734E46"/>
    <w:multiLevelType w:val="hybridMultilevel"/>
    <w:lvl w:ilvl="0" w:tplc="4AAE6B82">
      <w:start w:val="27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Без интервала1"/>
    <w:pPr>
      <w:spacing w:lineRule="auto" w:line="240" w:after="0" w:beforeAutospacing="0" w:afterAutospacing="0"/>
    </w:pPr>
    <w:rPr>
      <w:rFonts w:ascii="Calibri" w:hAnsi="Calibri"/>
    </w:rPr>
  </w:style>
  <w:style w:type="paragraph" w:styleId="P2">
    <w:name w:val="No Spacing"/>
    <w:link w:val="C5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3">
    <w:name w:val="Style9"/>
    <w:basedOn w:val="P0"/>
    <w:pPr>
      <w:widowControl w:val="0"/>
      <w:suppressAutoHyphens w:val="1"/>
      <w:spacing w:lineRule="exact" w:line="275" w:after="0" w:beforeAutospacing="0" w:afterAutospacing="0"/>
      <w:jc w:val="both"/>
    </w:pPr>
    <w:rPr>
      <w:rFonts w:ascii="Times New Roman" w:hAnsi="Times New Roman"/>
      <w:sz w:val="24"/>
    </w:rPr>
  </w:style>
  <w:style w:type="paragraph" w:styleId="P4">
    <w:name w:val="ОСНОВНИЙ"/>
    <w:basedOn w:val="P0"/>
    <w:link w:val="C7"/>
    <w:qFormat/>
    <w:pPr>
      <w:shd w:val="clear" w:fill="FFFFFF"/>
      <w:spacing w:after="0" w:beforeAutospacing="0" w:afterAutospacing="0"/>
      <w:ind w:firstLine="450"/>
      <w:jc w:val="both"/>
    </w:pPr>
    <w:rPr>
      <w:rFonts w:ascii="Times New Roman" w:hAnsi="Times New Roman"/>
      <w:color w:val="000000"/>
      <w:sz w:val="24"/>
    </w:rPr>
  </w:style>
  <w:style w:type="paragraph" w:styleId="P5">
    <w:name w:val="Normal (Web)"/>
    <w:basedOn w:val="P0"/>
    <w:link w:val="C8"/>
    <w:qFormat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header"/>
    <w:basedOn w:val="P0"/>
    <w:link w:val="C10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7">
    <w:name w:val="footer"/>
    <w:basedOn w:val="P0"/>
    <w:link w:val="C11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8">
    <w:name w:val="Table Paragraph"/>
    <w:basedOn w:val="P0"/>
    <w:qFormat/>
    <w:pPr>
      <w:widowControl w:val="0"/>
      <w:spacing w:lineRule="auto" w:line="240" w:after="0" w:beforeAutospacing="0" w:afterAutospacing="0"/>
      <w:ind w:left="102"/>
    </w:pPr>
    <w:rPr>
      <w:rFonts w:ascii="Times New Roman" w:hAnsi="Times New Roman"/>
    </w:rPr>
  </w:style>
  <w:style w:type="paragraph" w:styleId="P9">
    <w:name w:val="Основной текст (2)"/>
    <w:basedOn w:val="P0"/>
    <w:link w:val="C13"/>
    <w:pPr>
      <w:widowControl w:val="0"/>
      <w:shd w:val="clear" w:fill="FFFFFF"/>
      <w:spacing w:lineRule="exact" w:line="226" w:before="420" w:after="0" w:beforeAutospacing="0" w:afterAutospacing="0"/>
      <w:jc w:val="both"/>
    </w:pPr>
    <w:rPr>
      <w:rFonts w:ascii="Times New Roman" w:hAnsi="Times New Roman"/>
      <w:sz w:val="18"/>
    </w:rPr>
  </w:style>
  <w:style w:type="paragraph" w:styleId="P10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Emphasis"/>
    <w:basedOn w:val="C0"/>
    <w:qFormat/>
    <w:rPr>
      <w:i w:val="1"/>
    </w:rPr>
  </w:style>
  <w:style w:type="character" w:styleId="C4">
    <w:name w:val="Font Style14"/>
    <w:rPr>
      <w:rFonts w:ascii="Times New Roman" w:hAnsi="Times New Roman"/>
      <w:sz w:val="22"/>
    </w:rPr>
  </w:style>
  <w:style w:type="character" w:styleId="C5">
    <w:name w:val="Без интервала Знак"/>
    <w:link w:val="P2"/>
    <w:rPr>
      <w:rFonts w:ascii="Calibri" w:hAnsi="Calibri"/>
    </w:rPr>
  </w:style>
  <w:style w:type="character" w:styleId="C6">
    <w:name w:val="subject"/>
    <w:rPr/>
  </w:style>
  <w:style w:type="character" w:styleId="C7">
    <w:name w:val="ОСНОВНИЙ Знак"/>
    <w:link w:val="P4"/>
    <w:rPr>
      <w:rFonts w:ascii="Times New Roman" w:hAnsi="Times New Roman"/>
      <w:color w:val="000000"/>
      <w:sz w:val="24"/>
    </w:rPr>
  </w:style>
  <w:style w:type="character" w:styleId="C8">
    <w:name w:val="Обычный (веб) Знак"/>
    <w:link w:val="P5"/>
    <w:qFormat/>
    <w:rPr>
      <w:rFonts w:ascii="Times New Roman" w:hAnsi="Times New Roman"/>
      <w:sz w:val="24"/>
    </w:rPr>
  </w:style>
  <w:style w:type="character" w:styleId="C9">
    <w:name w:val="fs_12"/>
    <w:basedOn w:val="C0"/>
    <w:rPr/>
  </w:style>
  <w:style w:type="character" w:styleId="C10">
    <w:name w:val="Верхний колонтитул Знак"/>
    <w:basedOn w:val="C0"/>
    <w:link w:val="P6"/>
    <w:rPr/>
  </w:style>
  <w:style w:type="character" w:styleId="C11">
    <w:name w:val="Нижний колонтитул Знак"/>
    <w:basedOn w:val="C0"/>
    <w:link w:val="P7"/>
    <w:semiHidden/>
    <w:rPr/>
  </w:style>
  <w:style w:type="character" w:styleId="C12">
    <w:name w:val="Strong"/>
    <w:basedOn w:val="C0"/>
    <w:qFormat/>
    <w:rPr>
      <w:b w:val="1"/>
    </w:rPr>
  </w:style>
  <w:style w:type="character" w:styleId="C13">
    <w:name w:val="Основной текст (2)_"/>
    <w:basedOn w:val="C0"/>
    <w:link w:val="P9"/>
    <w:rPr>
      <w:rFonts w:ascii="Times New Roman" w:hAnsi="Times New Roman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