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E79E" w14:textId="77777777" w:rsidR="00D76967" w:rsidRPr="00B5456C" w:rsidRDefault="00D76967" w:rsidP="00D76967">
      <w:pPr>
        <w:jc w:val="right"/>
        <w:rPr>
          <w:b/>
          <w:i/>
          <w:lang w:val="uk-UA"/>
        </w:rPr>
      </w:pPr>
      <w:r w:rsidRPr="00B5456C">
        <w:rPr>
          <w:b/>
          <w:i/>
          <w:lang w:val="uk-UA"/>
        </w:rPr>
        <w:t xml:space="preserve">ДОДАТОК 5 </w:t>
      </w:r>
    </w:p>
    <w:p w14:paraId="0ADD4D14" w14:textId="77777777" w:rsidR="00D76967" w:rsidRPr="00B5456C" w:rsidRDefault="00D76967" w:rsidP="00D76967">
      <w:pPr>
        <w:jc w:val="right"/>
        <w:rPr>
          <w:b/>
          <w:i/>
          <w:lang w:val="uk-UA"/>
        </w:rPr>
      </w:pPr>
      <w:r w:rsidRPr="00B5456C">
        <w:rPr>
          <w:b/>
          <w:i/>
          <w:lang w:val="uk-UA"/>
        </w:rPr>
        <w:t>до тендерної документації</w:t>
      </w:r>
    </w:p>
    <w:p w14:paraId="66E29FFA" w14:textId="77777777" w:rsidR="00D76967" w:rsidRPr="00B5456C" w:rsidRDefault="00D76967" w:rsidP="00D76967">
      <w:pPr>
        <w:tabs>
          <w:tab w:val="left" w:pos="1080"/>
        </w:tabs>
        <w:rPr>
          <w:b/>
          <w:lang w:val="uk-UA"/>
        </w:rPr>
      </w:pPr>
    </w:p>
    <w:p w14:paraId="1F201E00" w14:textId="77777777" w:rsidR="00D76967" w:rsidRPr="00B5456C" w:rsidRDefault="00D76967" w:rsidP="00D76967">
      <w:pPr>
        <w:jc w:val="center"/>
        <w:outlineLvl w:val="0"/>
        <w:rPr>
          <w:b/>
          <w:lang w:val="uk-UA"/>
        </w:rPr>
      </w:pPr>
      <w:r w:rsidRPr="00B5456C">
        <w:rPr>
          <w:b/>
          <w:lang w:val="uk-UA"/>
        </w:rPr>
        <w:t xml:space="preserve">ПЕРЕЛІК ДОКУМЕНТІВ, ЩО НЕОБХІДНО НАДАТИ В СКЛАДІ ТЕНДЕРНОЇ ПРОПОЗИЦІЇ </w:t>
      </w:r>
    </w:p>
    <w:p w14:paraId="2E2BBA39" w14:textId="77777777" w:rsidR="00D76967" w:rsidRPr="00CE6C33" w:rsidRDefault="00D76967" w:rsidP="00D76967">
      <w:pPr>
        <w:tabs>
          <w:tab w:val="left" w:pos="567"/>
        </w:tabs>
        <w:ind w:firstLine="567"/>
        <w:jc w:val="both"/>
        <w:outlineLvl w:val="0"/>
        <w:rPr>
          <w:b/>
          <w:bCs/>
          <w:lang w:val="uk-UA" w:eastAsia="uk-UA"/>
        </w:rPr>
      </w:pPr>
    </w:p>
    <w:p w14:paraId="5E93D67A" w14:textId="77777777" w:rsidR="00D76967" w:rsidRPr="00CE6C33" w:rsidRDefault="00D76967" w:rsidP="00D76967">
      <w:pPr>
        <w:pStyle w:val="a3"/>
        <w:numPr>
          <w:ilvl w:val="0"/>
          <w:numId w:val="1"/>
        </w:numPr>
        <w:tabs>
          <w:tab w:val="left" w:pos="-684"/>
          <w:tab w:val="left" w:pos="151"/>
          <w:tab w:val="left" w:pos="567"/>
        </w:tabs>
        <w:adjustRightInd w:val="0"/>
        <w:ind w:left="0" w:right="86" w:firstLine="567"/>
        <w:jc w:val="both"/>
        <w:rPr>
          <w:lang w:eastAsia="uk-UA"/>
        </w:rPr>
      </w:pPr>
      <w:r w:rsidRPr="00CE6C33">
        <w:rPr>
          <w:lang w:val="uk-UA" w:eastAsia="uk-UA"/>
        </w:rPr>
        <w:t>С</w:t>
      </w:r>
      <w:proofErr w:type="spellStart"/>
      <w:r w:rsidRPr="00CE6C33">
        <w:rPr>
          <w:lang w:eastAsia="uk-UA"/>
        </w:rPr>
        <w:t>татут</w:t>
      </w:r>
      <w:proofErr w:type="spellEnd"/>
      <w:r w:rsidRPr="00CE6C33">
        <w:rPr>
          <w:lang w:eastAsia="uk-UA"/>
        </w:rPr>
        <w:t xml:space="preserve"> </w:t>
      </w:r>
      <w:r w:rsidR="001B1C40">
        <w:rPr>
          <w:lang w:val="uk-UA" w:eastAsia="uk-UA"/>
        </w:rPr>
        <w:t xml:space="preserve"> </w:t>
      </w:r>
      <w:r w:rsidRPr="00CE6C33">
        <w:rPr>
          <w:lang w:eastAsia="uk-UA"/>
        </w:rPr>
        <w:t xml:space="preserve">учасника (чинна редакція) або опис </w:t>
      </w:r>
      <w:r w:rsidRPr="00CE6C33">
        <w:rPr>
          <w:iCs/>
          <w:lang w:eastAsia="uk-UA"/>
        </w:rPr>
        <w:t>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r w:rsidRPr="00CE6C33">
        <w:rPr>
          <w:lang w:eastAsia="uk-UA"/>
        </w:rPr>
        <w:t xml:space="preserve"> (у разі проведення реєстраційної дії щодо статуту після 01.01.2016), або інший установчий документ учасника (за наявності). </w:t>
      </w:r>
    </w:p>
    <w:p w14:paraId="6897E1E1" w14:textId="77777777" w:rsidR="00D76967" w:rsidRPr="00CE6C33" w:rsidRDefault="00D76967" w:rsidP="00D76967">
      <w:pPr>
        <w:pStyle w:val="a3"/>
        <w:numPr>
          <w:ilvl w:val="0"/>
          <w:numId w:val="1"/>
        </w:numPr>
        <w:tabs>
          <w:tab w:val="left" w:pos="-684"/>
          <w:tab w:val="left" w:pos="151"/>
          <w:tab w:val="left" w:pos="567"/>
        </w:tabs>
        <w:adjustRightInd w:val="0"/>
        <w:ind w:left="0" w:right="86" w:firstLine="567"/>
        <w:jc w:val="both"/>
        <w:rPr>
          <w:lang w:eastAsia="uk-UA"/>
        </w:rPr>
      </w:pPr>
      <w:r w:rsidRPr="00CE6C33">
        <w:rPr>
          <w:lang w:eastAsia="uk-UA"/>
        </w:rPr>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r w:rsidRPr="00CE6C33">
        <w:rPr>
          <w:lang w:val="uk-UA" w:eastAsia="uk-UA"/>
        </w:rPr>
        <w:t>.</w:t>
      </w:r>
    </w:p>
    <w:p w14:paraId="25C17398" w14:textId="77777777" w:rsidR="00D76967" w:rsidRPr="00CE6C33" w:rsidRDefault="00D76967" w:rsidP="00D76967">
      <w:pPr>
        <w:pStyle w:val="a3"/>
        <w:numPr>
          <w:ilvl w:val="0"/>
          <w:numId w:val="1"/>
        </w:numPr>
        <w:tabs>
          <w:tab w:val="left" w:pos="-684"/>
          <w:tab w:val="left" w:pos="151"/>
          <w:tab w:val="left" w:pos="567"/>
        </w:tabs>
        <w:adjustRightInd w:val="0"/>
        <w:ind w:left="0" w:right="86" w:firstLine="567"/>
        <w:jc w:val="both"/>
        <w:rPr>
          <w:lang w:eastAsia="uk-UA"/>
        </w:rPr>
      </w:pPr>
      <w:r w:rsidRPr="00CE6C33">
        <w:t>Учасники-фізичні особи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097C558E" w14:textId="77777777" w:rsidR="00D76967" w:rsidRPr="00CE6C33" w:rsidRDefault="00D76967" w:rsidP="00D76967">
      <w:pPr>
        <w:pStyle w:val="a3"/>
        <w:tabs>
          <w:tab w:val="left" w:pos="-684"/>
          <w:tab w:val="left" w:pos="323"/>
          <w:tab w:val="left" w:pos="567"/>
        </w:tabs>
        <w:ind w:left="0" w:right="86" w:firstLine="567"/>
        <w:jc w:val="both"/>
        <w:rPr>
          <w:rStyle w:val="rvts0"/>
        </w:rPr>
      </w:pPr>
      <w:r w:rsidRPr="00CE6C33">
        <w:rPr>
          <w:rStyle w:val="rvts0"/>
          <w:lang w:val="uk-UA"/>
        </w:rPr>
        <w:t>Д</w:t>
      </w:r>
      <w:proofErr w:type="spellStart"/>
      <w:r w:rsidRPr="00CE6C33">
        <w:rPr>
          <w:rStyle w:val="rvts0"/>
        </w:rPr>
        <w:t>окументи</w:t>
      </w:r>
      <w:proofErr w:type="spellEnd"/>
      <w:r w:rsidRPr="00CE6C33">
        <w:rPr>
          <w:rStyle w:val="rvts0"/>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Pr="00CE6C33">
        <w:rPr>
          <w:rStyle w:val="rvts0"/>
          <w:lang w:val="uk-UA"/>
        </w:rPr>
        <w:t xml:space="preserve"> та договору про закупівлю</w:t>
      </w:r>
      <w:r w:rsidRPr="00CE6C33">
        <w:rPr>
          <w:rStyle w:val="rvts0"/>
        </w:rPr>
        <w:t>:</w:t>
      </w:r>
    </w:p>
    <w:p w14:paraId="01EAD912" w14:textId="77777777" w:rsidR="00D76967" w:rsidRPr="00CE6C33" w:rsidRDefault="00D76967" w:rsidP="00D76967">
      <w:pPr>
        <w:tabs>
          <w:tab w:val="left" w:pos="-684"/>
          <w:tab w:val="left" w:pos="567"/>
          <w:tab w:val="left" w:pos="5451"/>
        </w:tabs>
        <w:ind w:right="86" w:firstLine="567"/>
        <w:contextualSpacing/>
        <w:jc w:val="both"/>
        <w:rPr>
          <w:color w:val="000000"/>
          <w:lang w:val="uk-UA"/>
        </w:rPr>
      </w:pPr>
      <w:r w:rsidRPr="00CE6C33">
        <w:rPr>
          <w:rStyle w:val="rvts0"/>
        </w:rPr>
        <w:t xml:space="preserve"> - </w:t>
      </w:r>
      <w:r w:rsidRPr="00CE6C33">
        <w:rPr>
          <w:color w:val="000000"/>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299628A9" w14:textId="77777777" w:rsidR="00D76967" w:rsidRPr="00CE6C33" w:rsidRDefault="00D76967" w:rsidP="00D76967">
      <w:pPr>
        <w:tabs>
          <w:tab w:val="left" w:pos="-684"/>
          <w:tab w:val="left" w:pos="567"/>
          <w:tab w:val="left" w:pos="5451"/>
        </w:tabs>
        <w:ind w:right="86" w:firstLine="567"/>
        <w:contextualSpacing/>
        <w:jc w:val="both"/>
        <w:rPr>
          <w:color w:val="000000"/>
          <w:lang w:val="uk-UA"/>
        </w:rPr>
      </w:pPr>
      <w:r w:rsidRPr="00CE6C33">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CE6C33">
        <w:rPr>
          <w:color w:val="000000"/>
          <w:lang w:val="uk-UA"/>
        </w:rPr>
        <w:t>.</w:t>
      </w:r>
    </w:p>
    <w:p w14:paraId="00A299D1" w14:textId="77777777" w:rsidR="00D76967" w:rsidRPr="00CE6C33" w:rsidRDefault="00D76967" w:rsidP="00D76967">
      <w:pPr>
        <w:tabs>
          <w:tab w:val="left" w:pos="-684"/>
          <w:tab w:val="left" w:pos="151"/>
          <w:tab w:val="left" w:pos="567"/>
        </w:tabs>
        <w:ind w:right="-1" w:firstLine="567"/>
        <w:contextualSpacing/>
        <w:jc w:val="both"/>
        <w:rPr>
          <w:snapToGrid w:val="0"/>
        </w:rPr>
      </w:pPr>
      <w:r w:rsidRPr="00CE6C33">
        <w:rPr>
          <w:snapToGrid w:val="0"/>
          <w:lang w:val="uk-UA"/>
        </w:rPr>
        <w:t>4.</w:t>
      </w:r>
      <w:r w:rsidRPr="00CE6C33">
        <w:rPr>
          <w:snapToGrid w:val="0"/>
          <w:lang w:val="uk-UA"/>
        </w:rPr>
        <w:tab/>
      </w:r>
      <w:r w:rsidRPr="00CE6C33">
        <w:rPr>
          <w:snapToGrid w:val="0"/>
        </w:rPr>
        <w:t xml:space="preserve">Якщо учасником процедури закупівлі є акціонерне товариство, учасник </w:t>
      </w:r>
      <w:r w:rsidRPr="00CE6C33">
        <w:t xml:space="preserve">завантажує файл з копіями </w:t>
      </w:r>
      <w:r w:rsidRPr="00CE6C33">
        <w:rPr>
          <w:snapToGrid w:val="0"/>
        </w:rPr>
        <w:t>таких документів:</w:t>
      </w:r>
    </w:p>
    <w:p w14:paraId="78F396CD" w14:textId="0B1B71DA" w:rsidR="00D76967" w:rsidRPr="00CE6C33" w:rsidRDefault="00D76967" w:rsidP="00D76967">
      <w:pPr>
        <w:tabs>
          <w:tab w:val="left" w:pos="-684"/>
          <w:tab w:val="left" w:pos="567"/>
        </w:tabs>
        <w:ind w:right="86" w:firstLine="567"/>
        <w:jc w:val="both"/>
        <w:rPr>
          <w:snapToGrid w:val="0"/>
        </w:rPr>
      </w:pPr>
      <w:r w:rsidRPr="00CE6C33">
        <w:rPr>
          <w:snapToGrid w:val="0"/>
        </w:rPr>
        <w:t xml:space="preserve">- </w:t>
      </w:r>
      <w:r w:rsidRPr="00CE6C33">
        <w:rPr>
          <w:bCs/>
          <w:snapToGrid w:val="0"/>
        </w:rPr>
        <w:t>виписка з реєстру власників</w:t>
      </w:r>
      <w:r w:rsidRPr="00CE6C33">
        <w:rPr>
          <w:snapToGrid w:val="0"/>
        </w:rPr>
        <w:t xml:space="preserve"> іменних цінних паперів, надана реєстратором або </w:t>
      </w:r>
      <w:proofErr w:type="spellStart"/>
      <w:r w:rsidRPr="00CE6C33">
        <w:rPr>
          <w:snapToGrid w:val="0"/>
        </w:rPr>
        <w:t>реєстро</w:t>
      </w:r>
      <w:proofErr w:type="spellEnd"/>
      <w:r w:rsidR="005F788D" w:rsidRPr="005F788D">
        <w:rPr>
          <w:snapToGrid w:val="0"/>
        </w:rPr>
        <w:t>-</w:t>
      </w:r>
      <w:r w:rsidRPr="00CE6C33">
        <w:rPr>
          <w:snapToGrid w:val="0"/>
        </w:rPr>
        <w:t xml:space="preserve">утримувачем,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14:paraId="33ED394D" w14:textId="77777777" w:rsidR="00D76967" w:rsidRPr="00CE6C33" w:rsidRDefault="00D76967" w:rsidP="00D76967">
      <w:pPr>
        <w:pStyle w:val="1"/>
        <w:tabs>
          <w:tab w:val="left" w:pos="-684"/>
          <w:tab w:val="left" w:pos="567"/>
        </w:tabs>
        <w:spacing w:before="0" w:beforeAutospacing="0" w:after="0" w:afterAutospacing="0"/>
        <w:ind w:right="86" w:firstLine="567"/>
        <w:jc w:val="both"/>
        <w:rPr>
          <w:snapToGrid w:val="0"/>
          <w:sz w:val="22"/>
          <w:szCs w:val="22"/>
          <w:lang w:eastAsia="ru-RU"/>
        </w:rPr>
      </w:pPr>
      <w:r w:rsidRPr="00CE6C33">
        <w:rPr>
          <w:snapToGrid w:val="0"/>
          <w:sz w:val="22"/>
          <w:szCs w:val="22"/>
          <w:lang w:eastAsia="ru-RU"/>
        </w:rPr>
        <w:t xml:space="preserve">- на підтвердження повноважень того, хто видав один із зазначених у попередньому пункті документів, надати </w:t>
      </w:r>
      <w:r w:rsidRPr="00CE6C33">
        <w:rPr>
          <w:b/>
          <w:bCs/>
          <w:snapToGrid w:val="0"/>
          <w:sz w:val="22"/>
          <w:szCs w:val="22"/>
          <w:lang w:eastAsia="ru-RU"/>
        </w:rPr>
        <w:t xml:space="preserve">копію ліцензії/посилання в мережі Інтернет, що підтверджує видачу ліцензії уповноваженим органом </w:t>
      </w:r>
      <w:r w:rsidRPr="00CE6C33">
        <w:rPr>
          <w:snapToGrid w:val="0"/>
          <w:sz w:val="22"/>
          <w:szCs w:val="22"/>
          <w:lang w:eastAsia="ru-RU"/>
        </w:rPr>
        <w:t xml:space="preserve">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w:t>
      </w:r>
      <w:r w:rsidRPr="00CE6C33">
        <w:rPr>
          <w:i/>
          <w:snapToGrid w:val="0"/>
          <w:sz w:val="22"/>
          <w:szCs w:val="22"/>
          <w:lang w:eastAsia="ru-RU"/>
        </w:rPr>
        <w:t>Ця вимога не застосовується, якщо документ виданий Центральним депозитарієм</w:t>
      </w:r>
      <w:r w:rsidRPr="00CE6C33">
        <w:rPr>
          <w:snapToGrid w:val="0"/>
          <w:sz w:val="22"/>
          <w:szCs w:val="22"/>
          <w:lang w:eastAsia="ru-RU"/>
        </w:rPr>
        <w:t xml:space="preserve">. </w:t>
      </w:r>
    </w:p>
    <w:p w14:paraId="2EBC0389" w14:textId="77777777" w:rsidR="00D76967" w:rsidRPr="00CE6C33" w:rsidRDefault="00D76967" w:rsidP="00D76967">
      <w:pPr>
        <w:pStyle w:val="1"/>
        <w:tabs>
          <w:tab w:val="left" w:pos="-684"/>
          <w:tab w:val="left" w:pos="567"/>
        </w:tabs>
        <w:spacing w:before="0" w:beforeAutospacing="0" w:after="0" w:afterAutospacing="0"/>
        <w:ind w:right="86" w:firstLine="567"/>
        <w:jc w:val="both"/>
        <w:rPr>
          <w:i/>
          <w:sz w:val="20"/>
          <w:szCs w:val="20"/>
          <w:lang w:val="ru-RU"/>
        </w:rPr>
      </w:pPr>
      <w:r w:rsidRPr="00CE6C33">
        <w:rPr>
          <w:sz w:val="22"/>
          <w:szCs w:val="22"/>
        </w:rPr>
        <w:t>5.</w:t>
      </w:r>
      <w:r w:rsidRPr="00CE6C33">
        <w:rPr>
          <w:sz w:val="22"/>
          <w:szCs w:val="22"/>
        </w:rPr>
        <w:tab/>
        <w:t>У разі, якщо тендерна пропозиція подається об’єднанням учасників, обов’язково надається документ про створення такого об’єднання.</w:t>
      </w:r>
    </w:p>
    <w:p w14:paraId="7DE059F6" w14:textId="77777777" w:rsidR="00D76967" w:rsidRDefault="00D76967" w:rsidP="00D76967">
      <w:pPr>
        <w:tabs>
          <w:tab w:val="left" w:pos="567"/>
        </w:tabs>
        <w:autoSpaceDE/>
        <w:autoSpaceDN/>
        <w:ind w:firstLine="567"/>
        <w:jc w:val="both"/>
      </w:pPr>
      <w:r w:rsidRPr="00CE6C33">
        <w:rPr>
          <w:snapToGrid w:val="0"/>
          <w:lang w:val="ru-RU" w:eastAsia="ru-RU"/>
        </w:rPr>
        <w:t>6.</w:t>
      </w:r>
      <w:r w:rsidRPr="00CE6C33">
        <w:rPr>
          <w:snapToGrid w:val="0"/>
          <w:lang w:val="ru-RU" w:eastAsia="ru-RU"/>
        </w:rPr>
        <w:tab/>
      </w:r>
      <w:r w:rsidRPr="00CE6C33">
        <w:t>Якщо вартість закупівлі товару (товарів), послуги (послуг) дорівнює чи перевищує 20</w:t>
      </w:r>
      <w:r w:rsidRPr="00CE6C33">
        <w:rPr>
          <w:lang w:val="uk-UA"/>
        </w:rPr>
        <w:t xml:space="preserve"> </w:t>
      </w:r>
      <w:r w:rsidRPr="00CE6C33">
        <w:t xml:space="preserve">мільйонів гривень, </w:t>
      </w:r>
      <w:r w:rsidRPr="00CE6C33">
        <w:rPr>
          <w:lang w:val="uk-UA"/>
        </w:rPr>
        <w:t>Учасником</w:t>
      </w:r>
      <w:r w:rsidRPr="00CE6C33">
        <w:t xml:space="preserve"> надається антикорупційна програма та</w:t>
      </w:r>
      <w:r w:rsidRPr="00CE6C33">
        <w:rPr>
          <w:lang w:val="uk-UA"/>
        </w:rPr>
        <w:t xml:space="preserve"> </w:t>
      </w:r>
      <w:r w:rsidRPr="00CE6C33">
        <w:t>відповідний наказ про затвердження антикорупційної програми та призначення уповноваженого з її реалізації.</w:t>
      </w:r>
    </w:p>
    <w:p w14:paraId="22E81F3D" w14:textId="77777777" w:rsidR="00D76967" w:rsidRDefault="00D76967" w:rsidP="00D76967">
      <w:pPr>
        <w:tabs>
          <w:tab w:val="left" w:pos="567"/>
        </w:tabs>
        <w:autoSpaceDE/>
        <w:autoSpaceDN/>
        <w:ind w:firstLine="567"/>
        <w:jc w:val="both"/>
      </w:pPr>
      <w:r>
        <w:rPr>
          <w:lang w:val="uk-UA"/>
        </w:rPr>
        <w:t>7.</w:t>
      </w:r>
      <w:r>
        <w:rPr>
          <w:lang w:val="uk-UA"/>
        </w:rPr>
        <w:tab/>
      </w:r>
      <w:r>
        <w:t xml:space="preserve">Гарантійний лист щодо відповідності пропозиції учасника технічним, якісним та кількісним характеристиками (вимогами) до предмета закупівлі (технічній специфікації), викладеним у Додатку 1 до ТД. </w:t>
      </w:r>
    </w:p>
    <w:p w14:paraId="3E033E27" w14:textId="77777777" w:rsidR="00D76967" w:rsidRDefault="00D76967" w:rsidP="00D76967">
      <w:pPr>
        <w:tabs>
          <w:tab w:val="left" w:pos="567"/>
        </w:tabs>
        <w:autoSpaceDE/>
        <w:autoSpaceDN/>
        <w:ind w:firstLine="567"/>
        <w:jc w:val="both"/>
      </w:pPr>
      <w:r>
        <w:t>8.</w:t>
      </w:r>
      <w:r>
        <w:tab/>
        <w:t>Технічні, якісні та кількісні характеристики (вимоги) до предмета закупівлі (технічні специфікації) відповідно Додатку 1, за підписом уповноваженої особи  учасника.</w:t>
      </w:r>
    </w:p>
    <w:p w14:paraId="1D743397" w14:textId="77777777" w:rsidR="00D76967" w:rsidRDefault="00D76967" w:rsidP="00D76967">
      <w:pPr>
        <w:tabs>
          <w:tab w:val="left" w:pos="567"/>
        </w:tabs>
        <w:autoSpaceDE/>
        <w:autoSpaceDN/>
        <w:ind w:firstLine="567"/>
        <w:jc w:val="both"/>
      </w:pPr>
      <w:r>
        <w:t>9.</w:t>
      </w:r>
      <w:r>
        <w:tab/>
        <w:t>Рішення органу ліцензування про видачу вказаної/</w:t>
      </w:r>
      <w:proofErr w:type="spellStart"/>
      <w:r>
        <w:t>их</w:t>
      </w:r>
      <w:proofErr w:type="spellEnd"/>
      <w:r>
        <w:t xml:space="preserve"> ліцензії/й, або довідку в довільній формі із підтвердженням наявності в учасника відповідної/</w:t>
      </w:r>
      <w:proofErr w:type="spellStart"/>
      <w:r>
        <w:t>их</w:t>
      </w:r>
      <w:proofErr w:type="spellEnd"/>
      <w:r>
        <w:t xml:space="preserve"> ліцензії/й.</w:t>
      </w:r>
    </w:p>
    <w:p w14:paraId="0DEBDE08" w14:textId="36EB65FA" w:rsidR="00D76967" w:rsidRDefault="00D76967" w:rsidP="00D76967">
      <w:pPr>
        <w:tabs>
          <w:tab w:val="left" w:pos="567"/>
        </w:tabs>
        <w:autoSpaceDE/>
        <w:autoSpaceDN/>
        <w:ind w:firstLine="567"/>
        <w:jc w:val="both"/>
      </w:pPr>
      <w:r>
        <w:lastRenderedPageBreak/>
        <w:t>10.</w:t>
      </w:r>
      <w:r>
        <w:tab/>
        <w:t xml:space="preserve">Довідка, складена в довільній формі щодо наявності інформації про учасника в Реєстрі </w:t>
      </w:r>
      <w:proofErr w:type="spellStart"/>
      <w:r>
        <w:t>електропостачальників</w:t>
      </w:r>
      <w:proofErr w:type="spellEnd"/>
      <w:r>
        <w:t xml:space="preserve">, які отримали доступ до електричних мереж території провадження господарської діяльності з розподілу електричної енергії  </w:t>
      </w:r>
    </w:p>
    <w:p w14:paraId="2CB198E6" w14:textId="77777777" w:rsidR="00D76967" w:rsidRDefault="00D76967" w:rsidP="00D76967">
      <w:pPr>
        <w:tabs>
          <w:tab w:val="left" w:pos="567"/>
        </w:tabs>
        <w:autoSpaceDE/>
        <w:autoSpaceDN/>
        <w:ind w:firstLine="567"/>
        <w:jc w:val="both"/>
      </w:pPr>
      <w:r>
        <w:t>11.</w:t>
      </w:r>
      <w:r>
        <w:tab/>
        <w:t>Довідка, складена у довільній формі, щодо наявності інформації про учасника, що міститися в реєстрі учасників ринку НЕК «УКРЕНЕРГО» про врегулювання небалансів електричної енергії.</w:t>
      </w:r>
    </w:p>
    <w:p w14:paraId="344367AD" w14:textId="77777777" w:rsidR="00D76967" w:rsidRDefault="00D76967" w:rsidP="00D76967">
      <w:pPr>
        <w:tabs>
          <w:tab w:val="left" w:pos="567"/>
        </w:tabs>
        <w:autoSpaceDE/>
        <w:autoSpaceDN/>
        <w:ind w:firstLine="567"/>
        <w:jc w:val="both"/>
      </w:pPr>
      <w:r>
        <w:t>12.</w:t>
      </w:r>
      <w:r>
        <w:tab/>
        <w:t>Довідка, складена в довільній формі, про наявність інформації про Учасника в Реєстрі РДН/ВДР, розміщеної на офіційному сайті Оператору ринку: https://www.oree.com.ua/index.php/main/register,  зі статусом «активний».</w:t>
      </w:r>
    </w:p>
    <w:p w14:paraId="18ED3390" w14:textId="77777777" w:rsidR="00D76967" w:rsidRDefault="00D76967" w:rsidP="00444449">
      <w:pPr>
        <w:tabs>
          <w:tab w:val="left" w:pos="567"/>
        </w:tabs>
        <w:autoSpaceDE/>
        <w:autoSpaceDN/>
        <w:ind w:firstLine="567"/>
        <w:jc w:val="both"/>
      </w:pPr>
      <w:r>
        <w:t>13.</w:t>
      </w:r>
      <w:r>
        <w:tab/>
      </w:r>
      <w:r w:rsidR="00444449">
        <w:t xml:space="preserve">Гарантійний лист про те, що учасник торгів не включений  до списку (переліку) учасників ринку, яким надано статус </w:t>
      </w:r>
      <w:proofErr w:type="spellStart"/>
      <w:r w:rsidR="00444449">
        <w:t>дефолтний</w:t>
      </w:r>
      <w:proofErr w:type="spellEnd"/>
      <w:r w:rsidR="00444449">
        <w:t xml:space="preserve"> згідно з п.1.7.4 та п.1.7.1 Правил ринку,</w:t>
      </w:r>
      <w:r w:rsidR="00444449" w:rsidRPr="00444449">
        <w:t xml:space="preserve"> </w:t>
      </w:r>
      <w:r w:rsidR="00444449">
        <w:t>затверджених постановою НКРЕКП від 14.03.2018 № 307 станом на момент подання пропозиції.</w:t>
      </w:r>
    </w:p>
    <w:p w14:paraId="5EDFDB60" w14:textId="77777777" w:rsidR="00F90DBA" w:rsidRDefault="00F90DBA" w:rsidP="00F90DBA">
      <w:pPr>
        <w:pStyle w:val="a5"/>
        <w:tabs>
          <w:tab w:val="left" w:pos="851"/>
        </w:tabs>
        <w:ind w:firstLine="463"/>
        <w:jc w:val="both"/>
        <w:rPr>
          <w:sz w:val="22"/>
          <w:szCs w:val="22"/>
          <w:lang w:val="ru-RU" w:eastAsia="ru-RU"/>
        </w:rPr>
      </w:pPr>
      <w:r>
        <w:rPr>
          <w:sz w:val="22"/>
          <w:szCs w:val="22"/>
          <w:lang w:val="ru-RU" w:eastAsia="ru-RU"/>
        </w:rPr>
        <w:t>14</w:t>
      </w:r>
      <w:r w:rsidRPr="00EA3F88">
        <w:rPr>
          <w:sz w:val="22"/>
          <w:szCs w:val="22"/>
          <w:lang w:val="ru-RU" w:eastAsia="ru-RU"/>
        </w:rPr>
        <w:t>.</w:t>
      </w:r>
      <w:r w:rsidRPr="00EA3F88">
        <w:rPr>
          <w:sz w:val="22"/>
          <w:szCs w:val="22"/>
          <w:lang w:val="ru-RU" w:eastAsia="ru-RU"/>
        </w:rPr>
        <w:tab/>
      </w:r>
      <w:proofErr w:type="spellStart"/>
      <w:r>
        <w:rPr>
          <w:sz w:val="22"/>
          <w:szCs w:val="22"/>
          <w:lang w:val="ru-RU" w:eastAsia="ru-RU"/>
        </w:rPr>
        <w:t>Гарантійний</w:t>
      </w:r>
      <w:proofErr w:type="spellEnd"/>
      <w:r>
        <w:rPr>
          <w:sz w:val="22"/>
          <w:szCs w:val="22"/>
          <w:lang w:val="ru-RU" w:eastAsia="ru-RU"/>
        </w:rPr>
        <w:t xml:space="preserve"> лист, </w:t>
      </w:r>
      <w:proofErr w:type="spellStart"/>
      <w:r>
        <w:rPr>
          <w:sz w:val="22"/>
          <w:szCs w:val="22"/>
          <w:lang w:val="ru-RU" w:eastAsia="ru-RU"/>
        </w:rPr>
        <w:t>що</w:t>
      </w:r>
      <w:proofErr w:type="spellEnd"/>
      <w:r>
        <w:rPr>
          <w:sz w:val="22"/>
          <w:szCs w:val="22"/>
          <w:lang w:val="ru-RU" w:eastAsia="ru-RU"/>
        </w:rPr>
        <w:t xml:space="preserve"> </w:t>
      </w:r>
      <w:r w:rsidRPr="00EA3F88">
        <w:rPr>
          <w:sz w:val="22"/>
          <w:szCs w:val="22"/>
          <w:lang w:val="ru-RU" w:eastAsia="ru-RU"/>
        </w:rPr>
        <w:t xml:space="preserve">до </w:t>
      </w:r>
      <w:proofErr w:type="spellStart"/>
      <w:r w:rsidRPr="00EA3F88">
        <w:rPr>
          <w:sz w:val="22"/>
          <w:szCs w:val="22"/>
          <w:lang w:val="ru-RU" w:eastAsia="ru-RU"/>
        </w:rPr>
        <w:t>ціни</w:t>
      </w:r>
      <w:proofErr w:type="spellEnd"/>
      <w:r w:rsidRPr="00EA3F88">
        <w:rPr>
          <w:sz w:val="22"/>
          <w:szCs w:val="22"/>
          <w:lang w:val="ru-RU" w:eastAsia="ru-RU"/>
        </w:rPr>
        <w:t xml:space="preserve"> товару </w:t>
      </w:r>
      <w:proofErr w:type="spellStart"/>
      <w:r w:rsidRPr="00EA3F88">
        <w:rPr>
          <w:sz w:val="22"/>
          <w:szCs w:val="22"/>
          <w:lang w:val="ru-RU" w:eastAsia="ru-RU"/>
        </w:rPr>
        <w:t>обов’язково</w:t>
      </w:r>
      <w:proofErr w:type="spellEnd"/>
      <w:r w:rsidRPr="00EA3F88">
        <w:rPr>
          <w:sz w:val="22"/>
          <w:szCs w:val="22"/>
          <w:lang w:val="ru-RU" w:eastAsia="ru-RU"/>
        </w:rPr>
        <w:t xml:space="preserve"> </w:t>
      </w:r>
      <w:proofErr w:type="spellStart"/>
      <w:r w:rsidRPr="00EA3F88">
        <w:rPr>
          <w:sz w:val="22"/>
          <w:szCs w:val="22"/>
          <w:lang w:val="ru-RU" w:eastAsia="ru-RU"/>
        </w:rPr>
        <w:t>включається</w:t>
      </w:r>
      <w:proofErr w:type="spellEnd"/>
      <w:r w:rsidRPr="00EA3F88">
        <w:rPr>
          <w:sz w:val="22"/>
          <w:szCs w:val="22"/>
          <w:lang w:val="ru-RU" w:eastAsia="ru-RU"/>
        </w:rPr>
        <w:t xml:space="preserve"> </w:t>
      </w:r>
      <w:proofErr w:type="spellStart"/>
      <w:r w:rsidRPr="00EA3F88">
        <w:rPr>
          <w:sz w:val="22"/>
          <w:szCs w:val="22"/>
          <w:lang w:val="ru-RU" w:eastAsia="ru-RU"/>
        </w:rPr>
        <w:t>ціна</w:t>
      </w:r>
      <w:proofErr w:type="spellEnd"/>
      <w:r w:rsidRPr="00EA3F88">
        <w:rPr>
          <w:sz w:val="22"/>
          <w:szCs w:val="22"/>
          <w:lang w:val="ru-RU" w:eastAsia="ru-RU"/>
        </w:rPr>
        <w:t xml:space="preserve"> на передачу та </w:t>
      </w:r>
      <w:proofErr w:type="spellStart"/>
      <w:r w:rsidRPr="00EA3F88">
        <w:rPr>
          <w:sz w:val="22"/>
          <w:szCs w:val="22"/>
          <w:lang w:val="ru-RU" w:eastAsia="ru-RU"/>
        </w:rPr>
        <w:t>розподіл</w:t>
      </w:r>
      <w:proofErr w:type="spellEnd"/>
      <w:r w:rsidRPr="00EA3F88">
        <w:rPr>
          <w:sz w:val="22"/>
          <w:szCs w:val="22"/>
          <w:lang w:val="ru-RU" w:eastAsia="ru-RU"/>
        </w:rPr>
        <w:t>.</w:t>
      </w:r>
    </w:p>
    <w:p w14:paraId="4CEFD754" w14:textId="77777777" w:rsidR="00D76967" w:rsidRDefault="00F90DBA" w:rsidP="00D76967">
      <w:pPr>
        <w:tabs>
          <w:tab w:val="left" w:pos="567"/>
        </w:tabs>
        <w:autoSpaceDE/>
        <w:autoSpaceDN/>
        <w:ind w:firstLine="567"/>
        <w:jc w:val="both"/>
      </w:pPr>
      <w:r>
        <w:t>15</w:t>
      </w:r>
      <w:r w:rsidR="00D76967">
        <w:t>.</w:t>
      </w:r>
      <w:r w:rsidR="00D76967">
        <w:tab/>
      </w:r>
      <w:r w:rsidR="00444449">
        <w:t>Гарантійний лист про те, що учасник має власний офіційний веб-сайт відповідно до вимог підпункту 14 пункту 5.2.2 глави 5.2 розділу V Правил роздрібного ринку електричної енергії, затверджених Постановою НКРЕКП від 14.03.2018 № 312 (із змінами) з посиланням на такий сайт.</w:t>
      </w:r>
    </w:p>
    <w:p w14:paraId="2824891C" w14:textId="77777777" w:rsidR="0020408D" w:rsidRDefault="005F788D"/>
    <w:sectPr w:rsidR="00204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5B45"/>
    <w:multiLevelType w:val="hybridMultilevel"/>
    <w:tmpl w:val="E4B6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9C"/>
    <w:rsid w:val="001B1C40"/>
    <w:rsid w:val="002B7695"/>
    <w:rsid w:val="002C62EE"/>
    <w:rsid w:val="002D7402"/>
    <w:rsid w:val="00444449"/>
    <w:rsid w:val="00561B9C"/>
    <w:rsid w:val="005E366C"/>
    <w:rsid w:val="005F788D"/>
    <w:rsid w:val="006A6C77"/>
    <w:rsid w:val="00D76967"/>
    <w:rsid w:val="00F9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BD9B"/>
  <w15:docId w15:val="{49DA2A4B-D905-4866-8604-1DA60AD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967"/>
    <w:pPr>
      <w:widowControl w:val="0"/>
      <w:autoSpaceDE w:val="0"/>
      <w:autoSpaceDN w:val="0"/>
      <w:spacing w:after="0" w:line="240" w:lineRule="auto"/>
    </w:pPr>
    <w:rPr>
      <w:rFonts w:ascii="Times New Roman" w:eastAsia="Times New Roman" w:hAnsi="Times New Roman" w:cs="Times New Roman"/>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Текст таблицы,Number Bullets,Elenco Normale,Chapter10,название табл/рис,Список уровня 2,Bullet Number,Bullet 1,Use Case List Paragraph,lp1,List Paragraph1,lp11,List Paragraph11"/>
    <w:basedOn w:val="a"/>
    <w:link w:val="a4"/>
    <w:uiPriority w:val="34"/>
    <w:qFormat/>
    <w:rsid w:val="00D76967"/>
    <w:pPr>
      <w:ind w:left="720"/>
      <w:contextualSpacing/>
    </w:pPr>
  </w:style>
  <w:style w:type="character" w:customStyle="1" w:styleId="a4">
    <w:name w:val="Абзац списка Знак"/>
    <w:aliases w:val="AC List 01 Знак,Текст таблицы Знак,Number Bullets Знак,Elenco Normale Знак,Chapter10 Знак,название табл/рис Знак,Список уровня 2 Знак,Bullet Number Знак,Bullet 1 Знак,Use Case List Paragraph Знак,lp1 Знак,List Paragraph1 Знак,lp11 Знак"/>
    <w:link w:val="a3"/>
    <w:uiPriority w:val="34"/>
    <w:qFormat/>
    <w:locked/>
    <w:rsid w:val="00D76967"/>
    <w:rPr>
      <w:rFonts w:ascii="Times New Roman" w:eastAsia="Times New Roman" w:hAnsi="Times New Roman" w:cs="Times New Roman"/>
      <w:lang w:val="uk" w:eastAsia="uk"/>
    </w:rPr>
  </w:style>
  <w:style w:type="character" w:customStyle="1" w:styleId="rvts0">
    <w:name w:val="rvts0"/>
    <w:uiPriority w:val="99"/>
    <w:rsid w:val="00D76967"/>
    <w:rPr>
      <w:rFonts w:cs="Times New Roman"/>
    </w:rPr>
  </w:style>
  <w:style w:type="paragraph" w:customStyle="1" w:styleId="1">
    <w:name w:val="Обычный (веб) Знак Знак1"/>
    <w:aliases w:val="Зна"/>
    <w:basedOn w:val="a"/>
    <w:next w:val="a5"/>
    <w:link w:val="a6"/>
    <w:qFormat/>
    <w:rsid w:val="00D76967"/>
    <w:pPr>
      <w:widowControl/>
      <w:autoSpaceDE/>
      <w:autoSpaceDN/>
      <w:spacing w:before="100" w:beforeAutospacing="1" w:after="100" w:afterAutospacing="1"/>
    </w:pPr>
    <w:rPr>
      <w:sz w:val="24"/>
      <w:szCs w:val="24"/>
      <w:lang w:val="uk-UA" w:eastAsia="x-none"/>
    </w:rPr>
  </w:style>
  <w:style w:type="character" w:customStyle="1" w:styleId="a6">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
    <w:qFormat/>
    <w:locked/>
    <w:rsid w:val="00D76967"/>
    <w:rPr>
      <w:rFonts w:ascii="Times New Roman" w:eastAsia="Times New Roman" w:hAnsi="Times New Roman" w:cs="Times New Roman"/>
      <w:sz w:val="24"/>
      <w:szCs w:val="24"/>
      <w:lang w:val="uk-UA"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nhideWhenUsed/>
    <w:qFormat/>
    <w:rsid w:val="00D769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3402</Words>
  <Characters>1940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Fridrikh</dc:creator>
  <cp:lastModifiedBy>1</cp:lastModifiedBy>
  <cp:revision>2</cp:revision>
  <dcterms:created xsi:type="dcterms:W3CDTF">2023-08-11T08:59:00Z</dcterms:created>
  <dcterms:modified xsi:type="dcterms:W3CDTF">2023-08-11T08:59:00Z</dcterms:modified>
</cp:coreProperties>
</file>