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77777777" w:rsidR="00D40E20" w:rsidRDefault="00D40E20" w:rsidP="00D40E20">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58D95D13" w14:textId="77777777"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Хмельницька інфекційна лікарня</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D40E20" w:rsidRPr="00912256" w14:paraId="60EE5525" w14:textId="77777777" w:rsidTr="008F63AE">
        <w:tc>
          <w:tcPr>
            <w:tcW w:w="3931" w:type="dxa"/>
            <w:tcBorders>
              <w:top w:val="nil"/>
              <w:left w:val="nil"/>
              <w:bottom w:val="nil"/>
              <w:right w:val="nil"/>
            </w:tcBorders>
          </w:tcPr>
          <w:p w14:paraId="63EC7613" w14:textId="77777777" w:rsidR="00D40E20" w:rsidRPr="00860C9E" w:rsidRDefault="00D40E20" w:rsidP="008F63AE">
            <w:pPr>
              <w:spacing w:line="264" w:lineRule="auto"/>
              <w:rPr>
                <w:b/>
                <w:bCs/>
                <w:sz w:val="28"/>
                <w:szCs w:val="28"/>
              </w:rPr>
            </w:pPr>
          </w:p>
        </w:tc>
        <w:tc>
          <w:tcPr>
            <w:tcW w:w="6120" w:type="dxa"/>
            <w:tcBorders>
              <w:top w:val="nil"/>
              <w:left w:val="nil"/>
              <w:bottom w:val="nil"/>
              <w:right w:val="nil"/>
            </w:tcBorders>
          </w:tcPr>
          <w:p w14:paraId="017A8FFF" w14:textId="77777777" w:rsidR="00D40E20" w:rsidRDefault="00D40E20" w:rsidP="008F63AE">
            <w:pPr>
              <w:spacing w:line="264" w:lineRule="auto"/>
              <w:jc w:val="right"/>
              <w:rPr>
                <w:b/>
                <w:bCs/>
                <w:noProof/>
              </w:rPr>
            </w:pPr>
          </w:p>
          <w:p w14:paraId="55F2DBFD" w14:textId="77777777" w:rsidR="00D40E20" w:rsidRPr="00860C9E" w:rsidRDefault="00D40E20" w:rsidP="008F63A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8F63AE">
        <w:trPr>
          <w:trHeight w:val="669"/>
        </w:trPr>
        <w:tc>
          <w:tcPr>
            <w:tcW w:w="3931" w:type="dxa"/>
            <w:tcBorders>
              <w:top w:val="nil"/>
              <w:left w:val="nil"/>
              <w:bottom w:val="nil"/>
              <w:right w:val="nil"/>
            </w:tcBorders>
          </w:tcPr>
          <w:p w14:paraId="324568C0" w14:textId="77777777" w:rsidR="00D40E20" w:rsidRPr="00860C9E" w:rsidRDefault="00D40E20" w:rsidP="008F63AE">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2BD04E57" w14:textId="77777777" w:rsidR="00D40E20" w:rsidRDefault="00D40E20" w:rsidP="008F63A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0625A905" w:rsidR="00D40E20" w:rsidRPr="00860C9E" w:rsidRDefault="00D40E20" w:rsidP="00D40E20">
            <w:pPr>
              <w:spacing w:line="264" w:lineRule="auto"/>
              <w:jc w:val="right"/>
              <w:rPr>
                <w:b/>
                <w:bCs/>
              </w:rPr>
            </w:pPr>
            <w:r>
              <w:rPr>
                <w:b/>
                <w:bCs/>
              </w:rPr>
              <w:t xml:space="preserve">                 Ганна СЛОБОДЯН</w:t>
            </w:r>
          </w:p>
        </w:tc>
      </w:tr>
      <w:tr w:rsidR="007D0C9E" w:rsidRPr="007D0C9E" w14:paraId="6A62AC53" w14:textId="77777777" w:rsidTr="008F63AE">
        <w:tc>
          <w:tcPr>
            <w:tcW w:w="3931" w:type="dxa"/>
            <w:tcBorders>
              <w:top w:val="nil"/>
              <w:left w:val="nil"/>
              <w:bottom w:val="nil"/>
              <w:right w:val="nil"/>
            </w:tcBorders>
          </w:tcPr>
          <w:p w14:paraId="202CA538" w14:textId="77777777" w:rsidR="00D40E20" w:rsidRPr="000E3D3D" w:rsidRDefault="00D40E20" w:rsidP="008F63AE">
            <w:pPr>
              <w:spacing w:line="264" w:lineRule="auto"/>
              <w:rPr>
                <w:b/>
                <w:bCs/>
                <w:color w:val="FF0000"/>
              </w:rPr>
            </w:pPr>
          </w:p>
        </w:tc>
        <w:tc>
          <w:tcPr>
            <w:tcW w:w="6120" w:type="dxa"/>
            <w:tcBorders>
              <w:top w:val="nil"/>
              <w:left w:val="nil"/>
              <w:bottom w:val="nil"/>
              <w:right w:val="nil"/>
            </w:tcBorders>
          </w:tcPr>
          <w:p w14:paraId="6BCB1E9F" w14:textId="788C2515" w:rsidR="00D40E20" w:rsidRPr="007D0C9E" w:rsidRDefault="00D40E20" w:rsidP="0036222F">
            <w:pPr>
              <w:spacing w:line="264" w:lineRule="auto"/>
              <w:jc w:val="right"/>
              <w:rPr>
                <w:b/>
                <w:bCs/>
                <w:lang w:val="ru-RU"/>
              </w:rPr>
            </w:pPr>
            <w:r w:rsidRPr="007D0C9E">
              <w:rPr>
                <w:b/>
                <w:bCs/>
              </w:rPr>
              <w:t xml:space="preserve">                ПРОТОКОЛ №</w:t>
            </w:r>
            <w:r w:rsidR="0036222F">
              <w:rPr>
                <w:b/>
                <w:bCs/>
              </w:rPr>
              <w:t xml:space="preserve"> 4</w:t>
            </w:r>
          </w:p>
        </w:tc>
      </w:tr>
      <w:tr w:rsidR="00D40E20" w:rsidRPr="00912256" w14:paraId="7BFE3A69" w14:textId="77777777" w:rsidTr="008F63AE">
        <w:tc>
          <w:tcPr>
            <w:tcW w:w="3931" w:type="dxa"/>
            <w:tcBorders>
              <w:top w:val="nil"/>
              <w:left w:val="nil"/>
              <w:bottom w:val="nil"/>
              <w:right w:val="nil"/>
            </w:tcBorders>
          </w:tcPr>
          <w:p w14:paraId="6679E203" w14:textId="77777777" w:rsidR="00D40E20" w:rsidRPr="000E3D3D" w:rsidRDefault="00D40E20" w:rsidP="008F63AE">
            <w:pPr>
              <w:spacing w:line="264" w:lineRule="auto"/>
              <w:rPr>
                <w:b/>
                <w:bCs/>
                <w:color w:val="FF0000"/>
                <w:sz w:val="28"/>
                <w:szCs w:val="28"/>
              </w:rPr>
            </w:pPr>
          </w:p>
        </w:tc>
        <w:tc>
          <w:tcPr>
            <w:tcW w:w="6120" w:type="dxa"/>
            <w:tcBorders>
              <w:top w:val="nil"/>
              <w:left w:val="nil"/>
              <w:bottom w:val="nil"/>
              <w:right w:val="nil"/>
            </w:tcBorders>
          </w:tcPr>
          <w:p w14:paraId="6CE08293" w14:textId="0C24AF1A" w:rsidR="00D40E20" w:rsidRPr="00D243F1" w:rsidRDefault="00D40E20" w:rsidP="0036222F">
            <w:pPr>
              <w:spacing w:line="264" w:lineRule="auto"/>
              <w:jc w:val="right"/>
              <w:rPr>
                <w:b/>
                <w:bCs/>
              </w:rPr>
            </w:pPr>
            <w:r w:rsidRPr="00D243F1">
              <w:rPr>
                <w:b/>
                <w:bCs/>
              </w:rPr>
              <w:t xml:space="preserve">                 від</w:t>
            </w:r>
            <w:r w:rsidRPr="00D243F1">
              <w:t xml:space="preserve"> </w:t>
            </w:r>
            <w:r w:rsidRPr="00D243F1">
              <w:rPr>
                <w:b/>
              </w:rPr>
              <w:t>«</w:t>
            </w:r>
            <w:r w:rsidR="0036222F">
              <w:rPr>
                <w:b/>
              </w:rPr>
              <w:t>18</w:t>
            </w:r>
            <w:bookmarkStart w:id="0" w:name="_GoBack"/>
            <w:bookmarkEnd w:id="0"/>
            <w:r w:rsidRPr="00D243F1">
              <w:rPr>
                <w:b/>
              </w:rPr>
              <w:t>» січня  2023 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r w:rsidR="00A67829" w:rsidRPr="00A67829">
        <w:rPr>
          <w:b/>
          <w:sz w:val="28"/>
          <w:szCs w:val="28"/>
        </w:rPr>
        <w:t xml:space="preserve"> </w:t>
      </w:r>
    </w:p>
    <w:p w14:paraId="3708DF3C" w14:textId="77777777" w:rsidR="00AC4D25" w:rsidRDefault="00AC4D25" w:rsidP="004B25E6">
      <w:pPr>
        <w:spacing w:line="264" w:lineRule="auto"/>
        <w:jc w:val="center"/>
        <w:rPr>
          <w:b/>
          <w:sz w:val="28"/>
          <w:szCs w:val="28"/>
        </w:rPr>
      </w:pPr>
    </w:p>
    <w:p w14:paraId="427CB893" w14:textId="1289A0FE" w:rsidR="003259E4" w:rsidRDefault="00E86185" w:rsidP="003259E4">
      <w:pPr>
        <w:spacing w:line="264" w:lineRule="auto"/>
        <w:jc w:val="center"/>
        <w:rPr>
          <w:b/>
          <w:sz w:val="28"/>
          <w:szCs w:val="28"/>
        </w:rPr>
      </w:pPr>
      <w:r>
        <w:rPr>
          <w:b/>
          <w:sz w:val="28"/>
          <w:szCs w:val="28"/>
        </w:rPr>
        <w:t>МЕДИЧНЕ ОБЛАДНАННЯ</w:t>
      </w:r>
    </w:p>
    <w:p w14:paraId="6C6D7D91" w14:textId="77777777" w:rsidR="003259E4" w:rsidRPr="003259E4" w:rsidRDefault="003259E4" w:rsidP="003259E4">
      <w:pPr>
        <w:spacing w:line="264" w:lineRule="auto"/>
        <w:jc w:val="center"/>
        <w:rPr>
          <w:b/>
          <w:sz w:val="28"/>
          <w:szCs w:val="28"/>
        </w:rPr>
      </w:pPr>
    </w:p>
    <w:p w14:paraId="65D889F2" w14:textId="77777777" w:rsidR="00E86185" w:rsidRDefault="00E86185" w:rsidP="00E86185">
      <w:pPr>
        <w:spacing w:line="264" w:lineRule="auto"/>
        <w:jc w:val="center"/>
        <w:rPr>
          <w:b/>
          <w:sz w:val="28"/>
          <w:szCs w:val="28"/>
        </w:rPr>
      </w:pPr>
      <w:r w:rsidRPr="00E86185">
        <w:rPr>
          <w:b/>
          <w:sz w:val="28"/>
          <w:szCs w:val="28"/>
        </w:rPr>
        <w:t>код ДК 021:2015–33190000-8 «Медичні обладнання та вироби медичного призначення різні»</w:t>
      </w:r>
    </w:p>
    <w:p w14:paraId="44F1F98E" w14:textId="77777777" w:rsidR="00E86185" w:rsidRPr="00E86185" w:rsidRDefault="00E86185" w:rsidP="00E86185">
      <w:pPr>
        <w:spacing w:line="264" w:lineRule="auto"/>
        <w:jc w:val="center"/>
        <w:rPr>
          <w:b/>
          <w:sz w:val="28"/>
          <w:szCs w:val="28"/>
        </w:rPr>
      </w:pPr>
    </w:p>
    <w:p w14:paraId="60C29544" w14:textId="132F7CCF" w:rsidR="00D40E20" w:rsidRPr="00E86185" w:rsidRDefault="00E86185" w:rsidP="00E86185">
      <w:pPr>
        <w:spacing w:line="264" w:lineRule="auto"/>
        <w:jc w:val="center"/>
        <w:rPr>
          <w:b/>
        </w:rPr>
      </w:pPr>
      <w:r w:rsidRPr="00E86185">
        <w:rPr>
          <w:b/>
        </w:rPr>
        <w:t>код  НКМВ 024:2019 40517 Упаковка для стерилізації, багаторазового використання; 35362 Індикатор хімічний / фізичний для контролю стерилізації; 17634 Багатоканальна інфузійна помпа загального призначення; 40539 Крісло-туалет; 13959 Стіл для хірургічних інструментів</w:t>
      </w:r>
    </w:p>
    <w:p w14:paraId="1FD3D95C" w14:textId="77777777" w:rsidR="00E86185" w:rsidRDefault="00E86185" w:rsidP="00E86185">
      <w:pPr>
        <w:spacing w:line="264" w:lineRule="auto"/>
        <w:jc w:val="center"/>
        <w:rPr>
          <w:b/>
          <w:sz w:val="28"/>
          <w:szCs w:val="28"/>
        </w:rPr>
      </w:pPr>
    </w:p>
    <w:p w14:paraId="1D464ED4" w14:textId="77777777" w:rsidR="00E86185" w:rsidRDefault="00E86185" w:rsidP="00E86185">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807BF07" w14:textId="77777777" w:rsidR="00F836D2" w:rsidRDefault="00F836D2" w:rsidP="009B33EB">
      <w:pPr>
        <w:spacing w:line="264" w:lineRule="auto"/>
        <w:jc w:val="center"/>
        <w:rPr>
          <w:b/>
          <w:bCs/>
          <w:sz w:val="28"/>
          <w:szCs w:val="28"/>
          <w:lang w:eastAsia="uk-UA"/>
        </w:rPr>
      </w:pPr>
    </w:p>
    <w:p w14:paraId="2C3817A2" w14:textId="77777777" w:rsidR="00F836D2" w:rsidRDefault="00F836D2" w:rsidP="009B33EB">
      <w:pPr>
        <w:spacing w:line="264" w:lineRule="auto"/>
        <w:jc w:val="center"/>
        <w:rPr>
          <w:b/>
          <w:bCs/>
          <w:sz w:val="28"/>
          <w:szCs w:val="28"/>
          <w:lang w:eastAsia="uk-UA"/>
        </w:rPr>
      </w:pPr>
    </w:p>
    <w:p w14:paraId="7EEF5C24" w14:textId="77777777" w:rsidR="00F836D2" w:rsidRDefault="00F836D2" w:rsidP="009B33EB">
      <w:pPr>
        <w:spacing w:line="264" w:lineRule="auto"/>
        <w:jc w:val="center"/>
        <w:rPr>
          <w:b/>
          <w:bCs/>
          <w:sz w:val="28"/>
          <w:szCs w:val="28"/>
          <w:lang w:eastAsia="uk-UA"/>
        </w:rPr>
      </w:pPr>
    </w:p>
    <w:p w14:paraId="327133F4" w14:textId="77777777" w:rsidR="00F836D2" w:rsidRDefault="00F836D2" w:rsidP="009B33EB">
      <w:pPr>
        <w:spacing w:line="264" w:lineRule="auto"/>
        <w:jc w:val="center"/>
        <w:rPr>
          <w:b/>
          <w:bCs/>
          <w:sz w:val="28"/>
          <w:szCs w:val="28"/>
          <w:lang w:eastAsia="uk-UA"/>
        </w:rPr>
      </w:pPr>
    </w:p>
    <w:p w14:paraId="3BE2E890" w14:textId="77777777" w:rsidR="00F836D2" w:rsidRDefault="00F836D2" w:rsidP="009B33EB">
      <w:pPr>
        <w:spacing w:line="264" w:lineRule="auto"/>
        <w:jc w:val="center"/>
        <w:rPr>
          <w:b/>
          <w:bCs/>
          <w:sz w:val="28"/>
          <w:szCs w:val="28"/>
          <w:lang w:eastAsia="uk-UA"/>
        </w:rPr>
      </w:pPr>
    </w:p>
    <w:p w14:paraId="06A1007B" w14:textId="77777777" w:rsidR="003259E4" w:rsidRDefault="003259E4" w:rsidP="009B33EB">
      <w:pPr>
        <w:spacing w:line="264" w:lineRule="auto"/>
        <w:jc w:val="center"/>
        <w:rPr>
          <w:b/>
          <w:bCs/>
          <w:sz w:val="28"/>
          <w:szCs w:val="28"/>
          <w:lang w:eastAsia="uk-UA"/>
        </w:rPr>
      </w:pPr>
    </w:p>
    <w:p w14:paraId="699C1C17" w14:textId="77777777" w:rsidR="003259E4" w:rsidRDefault="003259E4" w:rsidP="009B33EB">
      <w:pPr>
        <w:spacing w:line="264" w:lineRule="auto"/>
        <w:jc w:val="center"/>
        <w:rPr>
          <w:b/>
          <w:bCs/>
          <w:sz w:val="28"/>
          <w:szCs w:val="28"/>
          <w:lang w:eastAsia="uk-UA"/>
        </w:rPr>
      </w:pPr>
    </w:p>
    <w:p w14:paraId="24EE868A" w14:textId="77777777" w:rsidR="003259E4" w:rsidRDefault="003259E4" w:rsidP="009B33EB">
      <w:pPr>
        <w:spacing w:line="264" w:lineRule="auto"/>
        <w:jc w:val="center"/>
        <w:rPr>
          <w:b/>
          <w:bCs/>
          <w:sz w:val="28"/>
          <w:szCs w:val="28"/>
          <w:lang w:eastAsia="uk-UA"/>
        </w:rPr>
      </w:pPr>
    </w:p>
    <w:p w14:paraId="6DAC3119" w14:textId="77777777" w:rsidR="003259E4" w:rsidRDefault="003259E4" w:rsidP="009B33EB">
      <w:pPr>
        <w:spacing w:line="264" w:lineRule="auto"/>
        <w:jc w:val="center"/>
        <w:rPr>
          <w:b/>
          <w:bCs/>
          <w:sz w:val="28"/>
          <w:szCs w:val="28"/>
          <w:lang w:eastAsia="uk-UA"/>
        </w:rPr>
      </w:pPr>
    </w:p>
    <w:p w14:paraId="122BC2E0" w14:textId="77777777" w:rsidR="00F836D2" w:rsidRDefault="00F836D2"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637D04CB" w14:textId="209F4171"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AC344B">
        <w:rPr>
          <w:b/>
          <w:bCs/>
          <w:sz w:val="28"/>
          <w:szCs w:val="28"/>
        </w:rPr>
        <w:t>3</w:t>
      </w:r>
    </w:p>
    <w:p w14:paraId="3F771BA3" w14:textId="77777777" w:rsidR="003259E4" w:rsidRDefault="003259E4" w:rsidP="009B33EB">
      <w:pPr>
        <w:spacing w:line="264" w:lineRule="auto"/>
        <w:jc w:val="center"/>
        <w:rPr>
          <w:b/>
          <w:bCs/>
          <w:sz w:val="28"/>
          <w:szCs w:val="28"/>
        </w:rPr>
      </w:pPr>
    </w:p>
    <w:p w14:paraId="576C0EB6" w14:textId="77777777" w:rsidR="003259E4" w:rsidRDefault="003259E4" w:rsidP="009B33EB">
      <w:pPr>
        <w:spacing w:line="264" w:lineRule="auto"/>
        <w:jc w:val="center"/>
        <w:rPr>
          <w:b/>
          <w:bCs/>
          <w:sz w:val="28"/>
          <w:szCs w:val="28"/>
        </w:rPr>
      </w:pPr>
    </w:p>
    <w:p w14:paraId="677D356E" w14:textId="77777777" w:rsidR="003259E4" w:rsidRDefault="003259E4"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2100B7B7" w:rsidR="00E854C9" w:rsidRPr="00A05EBE" w:rsidRDefault="00BB3E84" w:rsidP="00A05EBE">
            <w:pPr>
              <w:rPr>
                <w:b/>
              </w:rPr>
            </w:pPr>
            <w:r w:rsidRPr="00BB3E84">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7B7FFDDF" w:rsidR="00790F84" w:rsidRPr="00A23DE0" w:rsidRDefault="00BB3E84" w:rsidP="00D873C2">
            <w:pPr>
              <w:spacing w:line="276" w:lineRule="auto"/>
            </w:pPr>
            <w:r w:rsidRPr="00BB3E84">
              <w:t>29000 місто Хмельницький, вулиця Сковороди, будинок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3F56EA9" w14:textId="77777777" w:rsidR="005060AA" w:rsidRPr="005060AA" w:rsidRDefault="005060AA" w:rsidP="005060AA">
            <w:pPr>
              <w:spacing w:line="276" w:lineRule="auto"/>
              <w:rPr>
                <w:bCs/>
                <w:lang w:val="ru-RU"/>
              </w:rPr>
            </w:pPr>
            <w:proofErr w:type="gramStart"/>
            <w:r w:rsidRPr="005060AA">
              <w:rPr>
                <w:bCs/>
                <w:lang w:val="ru-RU"/>
              </w:rPr>
              <w:t>З</w:t>
            </w:r>
            <w:proofErr w:type="gramEnd"/>
            <w:r w:rsidRPr="005060AA">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7223B426" w14:textId="77777777" w:rsidR="00BB3E84" w:rsidRPr="00BB3E84" w:rsidRDefault="00BB3E84" w:rsidP="00BB3E84">
            <w:pPr>
              <w:spacing w:line="276" w:lineRule="auto"/>
              <w:rPr>
                <w:bCs/>
                <w:lang w:val="ru-RU"/>
              </w:rPr>
            </w:pPr>
            <w:r w:rsidRPr="00BB3E84">
              <w:rPr>
                <w:bCs/>
                <w:lang w:val="ru-RU"/>
              </w:rPr>
              <w:t>Ганна Слободян – уповноважена особа, бухгалтер</w:t>
            </w:r>
          </w:p>
          <w:p w14:paraId="32A935A0" w14:textId="5EC3170E" w:rsidR="00790F84" w:rsidRPr="006468F8" w:rsidRDefault="00BB3E84" w:rsidP="00BB3E84">
            <w:pPr>
              <w:spacing w:line="276" w:lineRule="auto"/>
              <w:rPr>
                <w:lang w:val="ru-RU"/>
              </w:rPr>
            </w:pPr>
            <w:r w:rsidRPr="00BB3E84">
              <w:rPr>
                <w:bCs/>
                <w:lang w:val="ru-RU"/>
              </w:rPr>
              <w:t>телефон</w:t>
            </w:r>
            <w:proofErr w:type="gramStart"/>
            <w:r w:rsidRPr="00BB3E84">
              <w:rPr>
                <w:bCs/>
                <w:lang w:val="ru-RU"/>
              </w:rPr>
              <w:t xml:space="preserve"> :</w:t>
            </w:r>
            <w:proofErr w:type="gramEnd"/>
            <w:r w:rsidRPr="00BB3E84">
              <w:rPr>
                <w:bCs/>
                <w:lang w:val="ru-RU"/>
              </w:rPr>
              <w:t xml:space="preserve"> (0382)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4F9D487" w:rsidR="00790F84" w:rsidRPr="006B4622" w:rsidRDefault="003259E4" w:rsidP="00541E6B">
            <w:pPr>
              <w:widowControl w:val="0"/>
              <w:ind w:left="-9" w:right="113"/>
              <w:contextualSpacing/>
              <w:jc w:val="both"/>
              <w:rPr>
                <w:lang w:eastAsia="uk-UA"/>
              </w:rPr>
            </w:pPr>
            <w:r>
              <w:rPr>
                <w:lang w:eastAsia="uk-UA"/>
              </w:rPr>
              <w:t>П</w:t>
            </w:r>
          </w:p>
        </w:tc>
        <w:tc>
          <w:tcPr>
            <w:tcW w:w="7492" w:type="dxa"/>
            <w:shd w:val="clear" w:color="auto" w:fill="auto"/>
          </w:tcPr>
          <w:p w14:paraId="371263C6" w14:textId="0EB39374" w:rsidR="00E86185" w:rsidRPr="00E86185" w:rsidRDefault="00E86185" w:rsidP="00E86185">
            <w:pPr>
              <w:spacing w:line="276" w:lineRule="auto"/>
              <w:jc w:val="both"/>
              <w:rPr>
                <w:rFonts w:eastAsia="Andale Sans UI"/>
                <w:kern w:val="1"/>
              </w:rPr>
            </w:pPr>
            <w:r w:rsidRPr="00E86185">
              <w:rPr>
                <w:rFonts w:eastAsia="Andale Sans UI"/>
                <w:kern w:val="1"/>
              </w:rPr>
              <w:t xml:space="preserve">медичне обладнання </w:t>
            </w:r>
          </w:p>
          <w:p w14:paraId="578A7C2B" w14:textId="77777777" w:rsidR="00E86185" w:rsidRPr="00E86185" w:rsidRDefault="00E86185" w:rsidP="00E86185">
            <w:pPr>
              <w:spacing w:line="276" w:lineRule="auto"/>
              <w:jc w:val="both"/>
              <w:rPr>
                <w:rFonts w:eastAsia="Andale Sans UI"/>
                <w:kern w:val="1"/>
              </w:rPr>
            </w:pPr>
            <w:r w:rsidRPr="00E86185">
              <w:rPr>
                <w:rFonts w:eastAsia="Andale Sans UI"/>
                <w:kern w:val="1"/>
              </w:rPr>
              <w:t>код ДК 021:2015–33190000-8 «Медичні обладнання та вироби медичного призначення різні»</w:t>
            </w:r>
          </w:p>
          <w:p w14:paraId="68958575" w14:textId="355811E7" w:rsidR="00D717CF" w:rsidRPr="000B5AEF" w:rsidRDefault="00E86185" w:rsidP="00E86185">
            <w:pPr>
              <w:spacing w:line="276" w:lineRule="auto"/>
              <w:jc w:val="both"/>
              <w:rPr>
                <w:rFonts w:eastAsia="Andale Sans UI"/>
                <w:kern w:val="1"/>
              </w:rPr>
            </w:pPr>
            <w:r w:rsidRPr="00E86185">
              <w:rPr>
                <w:rFonts w:eastAsia="Andale Sans UI"/>
                <w:kern w:val="1"/>
              </w:rPr>
              <w:t>код  НК</w:t>
            </w:r>
            <w:r>
              <w:rPr>
                <w:rFonts w:eastAsia="Andale Sans UI"/>
                <w:kern w:val="1"/>
              </w:rPr>
              <w:t xml:space="preserve">МВ </w:t>
            </w:r>
            <w:r w:rsidRPr="00E86185">
              <w:rPr>
                <w:rFonts w:eastAsia="Andale Sans UI"/>
                <w:kern w:val="1"/>
              </w:rPr>
              <w:t>024:2019 40517 Упаковка для стерилізації, багаторазового використання; 35362 Індикатор хімічний / фізичний для контролю стерилізації; 17634 Багатоканальна інфузійна помпа загального призначення; 40539 Крісло-туалет; 13959 Стіл для хірургічних інструментів</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3B908642" w:rsidR="00CC5AC4" w:rsidRDefault="00CC5AC4" w:rsidP="009B33EB">
            <w:r>
              <w:rPr>
                <w:lang w:val="ru-RU"/>
              </w:rPr>
              <w:t xml:space="preserve">Місце поставки: </w:t>
            </w:r>
            <w:r w:rsidR="005060AA">
              <w:t>290</w:t>
            </w:r>
            <w:r w:rsidR="00F704BB">
              <w:t>00,</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D40E20">
              <w:t>Григорія</w:t>
            </w:r>
            <w:proofErr w:type="gramStart"/>
            <w:r w:rsidR="00D40E20">
              <w:t xml:space="preserve"> С</w:t>
            </w:r>
            <w:proofErr w:type="gramEnd"/>
            <w:r w:rsidR="00D40E20">
              <w:t>ковороди,17</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167A941D"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5A7931">
              <w:rPr>
                <w:b/>
                <w:lang w:val="uk-UA"/>
              </w:rPr>
              <w:t>28.02</w:t>
            </w:r>
            <w:r>
              <w:rPr>
                <w:b/>
                <w:lang w:val="uk-UA"/>
              </w:rPr>
              <w:t>.202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 xml:space="preserve">Вітчизняні та іноземні учасники всіх форм власності та організаційно-правових форм беруть участь у процедурах </w:t>
            </w:r>
            <w:r w:rsidR="00D620D2" w:rsidRPr="00870B36">
              <w:lastRenderedPageBreak/>
              <w:t>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 xml:space="preserve">Інформація про валюту, у якій повинно бути </w:t>
            </w:r>
            <w:r w:rsidRPr="006B4622">
              <w:rPr>
                <w:b/>
                <w:lang w:eastAsia="uk-UA"/>
              </w:rPr>
              <w:lastRenderedPageBreak/>
              <w:t>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lastRenderedPageBreak/>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w:t>
            </w:r>
            <w:r w:rsidR="007A4056" w:rsidRPr="00912256">
              <w:lastRenderedPageBreak/>
              <w:t xml:space="preserve">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 xml:space="preserve">в) завірений нотаріально (в разі, якщо документ не потребує </w:t>
            </w:r>
            <w:r w:rsidRPr="00AE4089">
              <w:rPr>
                <w:rFonts w:ascii="Times New Roman" w:hAnsi="Times New Roman"/>
                <w:sz w:val="24"/>
                <w:lang w:eastAsia="ru-RU"/>
              </w:rPr>
              <w:lastRenderedPageBreak/>
              <w:t>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6A033C" w:rsidRPr="006A033C">
              <w:rPr>
                <w:rFonts w:ascii="Times New Roman" w:hAnsi="Times New Roman"/>
                <w:sz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w:t>
            </w:r>
            <w:r w:rsidR="005616F8" w:rsidRPr="00322954">
              <w:rPr>
                <w:rFonts w:ascii="Times New Roman" w:hAnsi="Times New Roman" w:cs="Times New Roman"/>
                <w:sz w:val="24"/>
                <w:szCs w:val="24"/>
                <w:lang w:val="uk-UA"/>
              </w:rPr>
              <w:lastRenderedPageBreak/>
              <w:t>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w:t>
            </w:r>
            <w:r w:rsidR="00277370">
              <w:rPr>
                <w:color w:val="000000"/>
              </w:rPr>
              <w:lastRenderedPageBreak/>
              <w:t>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 xml:space="preserve">і у своїй тендерній пропозиції, при цьому замовником не вимагається </w:t>
            </w:r>
            <w:r>
              <w:rPr>
                <w:color w:val="000000"/>
              </w:rPr>
              <w:lastRenderedPageBreak/>
              <w:t>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 xml:space="preserve">і має </w:t>
            </w:r>
            <w:r w:rsidR="00465466">
              <w:rPr>
                <w:color w:val="000000"/>
              </w:rPr>
              <w:lastRenderedPageBreak/>
              <w:t>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7A0D0E">
              <w:rPr>
                <w:color w:val="000000"/>
                <w:shd w:val="solid" w:color="FFFFFF" w:fill="FFFFFF"/>
              </w:rPr>
              <w:lastRenderedPageBreak/>
              <w:t>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sidRPr="007A0D0E">
              <w:rPr>
                <w:color w:val="000000"/>
                <w:shd w:val="solid" w:color="FFFFFF" w:fill="FFFFFF"/>
              </w:rPr>
              <w:lastRenderedPageBreak/>
              <w:t xml:space="preserve">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w:t>
            </w:r>
            <w:r w:rsidRPr="00134FD3">
              <w:rPr>
                <w:color w:val="000000"/>
                <w:shd w:val="solid" w:color="FFFFFF" w:fill="FFFFFF"/>
              </w:rPr>
              <w:lastRenderedPageBreak/>
              <w:t>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 xml:space="preserve">3.5.12. Учасник нерезидент повинен надати зазначені документи з урахуванням особливостей законодавства його країни </w:t>
            </w:r>
            <w:r w:rsidRPr="00134FD3">
              <w:rPr>
                <w:color w:val="000000"/>
                <w:shd w:val="solid" w:color="FFFFFF" w:fill="FFFFFF"/>
              </w:rPr>
              <w:lastRenderedPageBreak/>
              <w:t>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t>енергоспоживчої продукції (товарів)</w:t>
            </w:r>
            <w:bookmarkEnd w:id="6"/>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w:t>
            </w:r>
            <w:r w:rsidRPr="00870B36">
              <w:rPr>
                <w:shd w:val="clear" w:color="auto" w:fill="FFFFFF"/>
              </w:rPr>
              <w:lastRenderedPageBreak/>
              <w:t>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36B89674" w:rsidR="0086338D" w:rsidRPr="006468F8" w:rsidRDefault="0086338D" w:rsidP="0086338D">
            <w:pPr>
              <w:widowControl w:val="0"/>
              <w:ind w:left="34" w:right="113"/>
              <w:contextualSpacing/>
              <w:jc w:val="both"/>
              <w:rPr>
                <w:b/>
                <w:lang w:val="ru-RU"/>
              </w:rPr>
            </w:pPr>
            <w:bookmarkStart w:id="7"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3259E4">
              <w:rPr>
                <w:b/>
                <w:lang w:val="ru-RU"/>
              </w:rPr>
              <w:t>27</w:t>
            </w:r>
            <w:r w:rsidRPr="006468F8">
              <w:rPr>
                <w:b/>
                <w:lang w:val="ru-RU"/>
              </w:rPr>
              <w:t xml:space="preserve">» </w:t>
            </w:r>
            <w:r w:rsidR="00AC344B">
              <w:rPr>
                <w:b/>
                <w:lang w:val="ru-RU"/>
              </w:rPr>
              <w:t>січня</w:t>
            </w:r>
            <w:r w:rsidRPr="006468F8">
              <w:rPr>
                <w:b/>
                <w:lang w:val="ru-RU"/>
              </w:rPr>
              <w:t xml:space="preserve"> </w:t>
            </w:r>
            <w:r w:rsidRPr="006468F8">
              <w:rPr>
                <w:b/>
              </w:rPr>
              <w:t>202</w:t>
            </w:r>
            <w:r w:rsidR="00AC344B">
              <w:rPr>
                <w:b/>
              </w:rPr>
              <w:t>3</w:t>
            </w:r>
            <w:r w:rsidR="00E77A48" w:rsidRPr="006468F8">
              <w:rPr>
                <w:b/>
              </w:rPr>
              <w:t xml:space="preserve"> </w:t>
            </w:r>
            <w:r w:rsidRPr="006468F8">
              <w:rPr>
                <w:b/>
                <w:lang w:val="ru-RU"/>
              </w:rPr>
              <w:t>р</w:t>
            </w:r>
            <w:r w:rsidR="00E77A48" w:rsidRPr="006468F8">
              <w:rPr>
                <w:b/>
                <w:lang w:val="ru-RU"/>
              </w:rPr>
              <w:t>оку о 1</w:t>
            </w:r>
            <w:r w:rsidR="00E86185">
              <w:rPr>
                <w:b/>
                <w:lang w:val="ru-RU"/>
              </w:rPr>
              <w:t>8</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 xml:space="preserve">ісля закінчення кінцевого строку їх </w:t>
            </w:r>
            <w:r>
              <w:rPr>
                <w:color w:val="000000"/>
              </w:rPr>
              <w:lastRenderedPageBreak/>
              <w:t>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 xml:space="preserve">ідприємцем) – резидентом </w:t>
            </w:r>
            <w:r>
              <w:rPr>
                <w:color w:val="000000"/>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надав неналежне </w:t>
            </w:r>
            <w:r>
              <w:rPr>
                <w:color w:val="000000"/>
              </w:rPr>
              <w:lastRenderedPageBreak/>
              <w:t>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 xml:space="preserve">ішення зазначає в </w:t>
            </w:r>
            <w:r>
              <w:rPr>
                <w:color w:val="000000"/>
              </w:rPr>
              <w:lastRenderedPageBreak/>
              <w:t>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w:t>
            </w:r>
            <w:r w:rsidRPr="0064431F">
              <w:rPr>
                <w:color w:val="000000"/>
                <w:lang w:val="uk-UA"/>
              </w:rPr>
              <w:lastRenderedPageBreak/>
              <w:t>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623912">
              <w:rPr>
                <w:color w:val="000000"/>
                <w:lang w:eastAsia="en-US"/>
              </w:rPr>
              <w:lastRenderedPageBreak/>
              <w:t>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C62A" w14:textId="77777777" w:rsidR="006C1299" w:rsidRDefault="006C1299" w:rsidP="00207BBB">
      <w:pPr>
        <w:pStyle w:val="CharChar"/>
      </w:pPr>
      <w:r>
        <w:separator/>
      </w:r>
    </w:p>
  </w:endnote>
  <w:endnote w:type="continuationSeparator" w:id="0">
    <w:p w14:paraId="35CB9C14" w14:textId="77777777" w:rsidR="006C1299" w:rsidRDefault="006C1299"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36222F">
      <w:rPr>
        <w:rStyle w:val="a3"/>
        <w:noProof/>
      </w:rPr>
      <w:t>3</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0D16" w14:textId="77777777" w:rsidR="006C1299" w:rsidRDefault="006C1299" w:rsidP="00207BBB">
      <w:pPr>
        <w:pStyle w:val="CharChar"/>
      </w:pPr>
      <w:r>
        <w:separator/>
      </w:r>
    </w:p>
  </w:footnote>
  <w:footnote w:type="continuationSeparator" w:id="0">
    <w:p w14:paraId="0D523368" w14:textId="77777777" w:rsidR="006C1299" w:rsidRDefault="006C1299"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1146"/>
    <w:rsid w:val="006C1299"/>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4BD5"/>
    <w:rsid w:val="00D15519"/>
    <w:rsid w:val="00D15B3B"/>
    <w:rsid w:val="00D15DC5"/>
    <w:rsid w:val="00D15F03"/>
    <w:rsid w:val="00D16C8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7C3F-8588-44AB-9993-A913923B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23</Pages>
  <Words>37084</Words>
  <Characters>21139</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172</cp:revision>
  <cp:lastPrinted>2021-04-19T11:44:00Z</cp:lastPrinted>
  <dcterms:created xsi:type="dcterms:W3CDTF">2022-10-20T10:48:00Z</dcterms:created>
  <dcterms:modified xsi:type="dcterms:W3CDTF">2023-01-18T12:27:00Z</dcterms:modified>
</cp:coreProperties>
</file>