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Уповноваженою особою</w:t>
      </w:r>
    </w:p>
    <w:p w:rsidR="00FF3026" w:rsidRPr="00F64395" w:rsidRDefault="00693AAE" w:rsidP="00FF3026">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________________ Катерина ФЛУЄРАР</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рішенням уповноваженої особи, </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sidR="00747FA3">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згідно з протоколом №</w:t>
      </w:r>
      <w:r w:rsidR="00FD3D37">
        <w:rPr>
          <w:rFonts w:ascii="Times New Roman" w:eastAsia="SimSun" w:hAnsi="Times New Roman" w:cs="Times New Roman"/>
          <w:b/>
          <w:sz w:val="24"/>
          <w:szCs w:val="24"/>
          <w:lang w:val="ru-RU" w:eastAsia="ru-RU"/>
        </w:rPr>
        <w:t>131 від 02</w:t>
      </w:r>
      <w:r w:rsidR="00886E62" w:rsidRPr="00C77E1B">
        <w:rPr>
          <w:rFonts w:ascii="Times New Roman" w:eastAsia="SimSun" w:hAnsi="Times New Roman" w:cs="Times New Roman"/>
          <w:b/>
          <w:sz w:val="24"/>
          <w:szCs w:val="24"/>
          <w:lang w:val="ru-RU" w:eastAsia="ru-RU"/>
        </w:rPr>
        <w:t>.04</w:t>
      </w:r>
      <w:r w:rsidRPr="00C77E1B">
        <w:rPr>
          <w:rFonts w:ascii="Times New Roman" w:eastAsia="SimSun" w:hAnsi="Times New Roman" w:cs="Times New Roman"/>
          <w:b/>
          <w:sz w:val="24"/>
          <w:szCs w:val="24"/>
          <w:lang w:val="ru-RU" w:eastAsia="ru-RU"/>
        </w:rPr>
        <w:t>.2024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"Капітальний ремонт системи опалення та покрівлі Чорноморського ліцею №2 за адресою: місто</w:t>
      </w:r>
      <w:r>
        <w:rPr>
          <w:rFonts w:ascii="Times New Roman" w:eastAsia="Times New Roman" w:hAnsi="Times New Roman" w:cs="Times New Roman"/>
          <w:b/>
          <w:spacing w:val="-3"/>
          <w:sz w:val="28"/>
          <w:szCs w:val="28"/>
          <w:lang w:val="ru-RU" w:eastAsia="en-US"/>
        </w:rPr>
        <w:t xml:space="preserve"> </w:t>
      </w:r>
      <w:r w:rsidRPr="00FF3026">
        <w:rPr>
          <w:rFonts w:ascii="Times New Roman" w:eastAsia="Times New Roman" w:hAnsi="Times New Roman" w:cs="Times New Roman"/>
          <w:b/>
          <w:spacing w:val="-3"/>
          <w:sz w:val="28"/>
          <w:szCs w:val="28"/>
          <w:lang w:val="ru-RU" w:eastAsia="en-US"/>
        </w:rPr>
        <w:t>Чорноморськ, проспект Миру,</w:t>
      </w:r>
      <w:r>
        <w:rPr>
          <w:rFonts w:ascii="Times New Roman" w:eastAsia="Times New Roman" w:hAnsi="Times New Roman" w:cs="Times New Roman"/>
          <w:b/>
          <w:spacing w:val="-3"/>
          <w:sz w:val="28"/>
          <w:szCs w:val="28"/>
          <w:lang w:val="ru-RU" w:eastAsia="en-US"/>
        </w:rPr>
        <w:t xml:space="preserve"> </w:t>
      </w:r>
      <w:r w:rsidRPr="00FF3026">
        <w:rPr>
          <w:rFonts w:ascii="Times New Roman" w:eastAsia="Times New Roman" w:hAnsi="Times New Roman" w:cs="Times New Roman"/>
          <w:b/>
          <w:spacing w:val="-3"/>
          <w:sz w:val="28"/>
          <w:szCs w:val="28"/>
          <w:lang w:val="ru-RU" w:eastAsia="en-US"/>
        </w:rPr>
        <w:t>17А"</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693AAE" w:rsidP="00E00081">
            <w:pPr>
              <w:spacing w:after="0" w:line="240" w:lineRule="auto"/>
              <w:jc w:val="both"/>
              <w:rPr>
                <w:rFonts w:ascii="Times New Roman" w:eastAsia="Times New Roman" w:hAnsi="Times New Roman" w:cs="Times New Roman"/>
                <w:i/>
                <w:color w:val="FF0000"/>
                <w:sz w:val="24"/>
                <w:szCs w:val="24"/>
                <w:highlight w:val="yellow"/>
              </w:rPr>
            </w:pPr>
            <w:r w:rsidRPr="00693AAE">
              <w:rPr>
                <w:rFonts w:ascii="Times New Roman" w:eastAsia="Times New Roman" w:hAnsi="Times New Roman" w:cs="Times New Roman"/>
                <w:lang w:eastAsia="ru-RU"/>
              </w:rPr>
              <w:t>Флуєрар Катерина Олегівна, головний спеціаліст організаційно-правової та кадрової роботи, уповноважена особа, тел./факс (04868) 4-68-31, +380638925311;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"Капітальний ремонт системи опалення та покрівлі Чорноморського ліцею №2 за адресою: місто Чорноморськ, проспект Миру, 17А"</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 район, м.Чорноморськ, проспект Миру 17-А</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C540D1">
              <w:rPr>
                <w:rFonts w:ascii="Times New Roman" w:eastAsia="Times New Roman" w:hAnsi="Times New Roman" w:cs="Times New Roman"/>
                <w:b/>
                <w:color w:val="000000" w:themeColor="text1"/>
                <w:sz w:val="24"/>
                <w:szCs w:val="24"/>
                <w:highlight w:val="yellow"/>
                <w:lang w:val="ru-RU"/>
              </w:rPr>
              <w:t>10</w:t>
            </w:r>
            <w:bookmarkStart w:id="6" w:name="_GoBack"/>
            <w:bookmarkEnd w:id="6"/>
            <w:r w:rsidR="00CA6767" w:rsidRPr="007C56EC">
              <w:rPr>
                <w:rFonts w:ascii="Times New Roman" w:eastAsia="Times New Roman" w:hAnsi="Times New Roman" w:cs="Times New Roman"/>
                <w:b/>
                <w:color w:val="000000" w:themeColor="text1"/>
                <w:sz w:val="24"/>
                <w:szCs w:val="24"/>
                <w:highlight w:val="yellow"/>
              </w:rPr>
              <w:t>.0</w:t>
            </w:r>
            <w:r w:rsidR="00CA6767" w:rsidRPr="007C56EC">
              <w:rPr>
                <w:rFonts w:ascii="Times New Roman" w:eastAsia="Times New Roman" w:hAnsi="Times New Roman" w:cs="Times New Roman"/>
                <w:b/>
                <w:color w:val="000000" w:themeColor="text1"/>
                <w:sz w:val="24"/>
                <w:szCs w:val="24"/>
                <w:highlight w:val="yellow"/>
                <w:lang w:val="ru-RU"/>
              </w:rPr>
              <w:t>4</w:t>
            </w:r>
            <w:r w:rsidR="007018AA" w:rsidRPr="007C56EC">
              <w:rPr>
                <w:rFonts w:ascii="Times New Roman" w:eastAsia="Times New Roman" w:hAnsi="Times New Roman" w:cs="Times New Roman"/>
                <w:b/>
                <w:color w:val="000000" w:themeColor="text1"/>
                <w:sz w:val="24"/>
                <w:szCs w:val="24"/>
                <w:highlight w:val="yellow"/>
              </w:rPr>
              <w:t>.</w:t>
            </w:r>
            <w:r w:rsidRPr="007C56EC">
              <w:rPr>
                <w:rFonts w:ascii="Times New Roman" w:eastAsia="Times New Roman" w:hAnsi="Times New Roman" w:cs="Times New Roman"/>
                <w:b/>
                <w:color w:val="000000" w:themeColor="text1"/>
                <w:sz w:val="24"/>
                <w:szCs w:val="24"/>
                <w:highlight w:val="yellow"/>
              </w:rPr>
              <w:t>20</w:t>
            </w:r>
            <w:r w:rsidR="007018AA" w:rsidRPr="007C56EC">
              <w:rPr>
                <w:rFonts w:ascii="Times New Roman" w:eastAsia="Times New Roman" w:hAnsi="Times New Roman" w:cs="Times New Roman"/>
                <w:b/>
                <w:color w:val="000000" w:themeColor="text1"/>
                <w:sz w:val="24"/>
                <w:szCs w:val="24"/>
                <w:highlight w:val="yellow"/>
              </w:rPr>
              <w:t xml:space="preserve">24 </w:t>
            </w:r>
            <w:r w:rsidRPr="007C56EC">
              <w:rPr>
                <w:rFonts w:ascii="Times New Roman" w:eastAsia="Times New Roman" w:hAnsi="Times New Roman" w:cs="Times New Roman"/>
                <w:b/>
                <w:color w:val="000000" w:themeColor="text1"/>
                <w:sz w:val="24"/>
                <w:szCs w:val="24"/>
                <w:highlight w:val="yellow"/>
              </w:rPr>
              <w:t>року, 00 год.</w:t>
            </w:r>
            <w:r w:rsidR="009C62FC" w:rsidRPr="007C56EC">
              <w:rPr>
                <w:rFonts w:ascii="Times New Roman" w:eastAsia="Times New Roman" w:hAnsi="Times New Roman" w:cs="Times New Roman"/>
                <w:b/>
                <w:color w:val="000000" w:themeColor="text1"/>
                <w:sz w:val="24"/>
                <w:szCs w:val="24"/>
                <w:highlight w:val="yellow"/>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до</w:t>
      </w:r>
      <w:r>
        <w:rPr>
          <w:rFonts w:ascii="Times New Roman" w:eastAsia="Times New Roman" w:hAnsi="Times New Roman" w:cs="Times New Roman"/>
          <w:sz w:val="24"/>
          <w:szCs w:val="24"/>
          <w:highlight w:val="white"/>
        </w:rPr>
        <w:t xml:space="preserve"> тендерної документації (лист-згода з ТД</w:t>
      </w:r>
      <w:r>
        <w:rPr>
          <w:rFonts w:ascii="Times New Roman" w:eastAsia="Times New Roman" w:hAnsi="Times New Roman" w:cs="Times New Roman"/>
          <w:sz w:val="24"/>
          <w:szCs w:val="24"/>
          <w:highlight w:val="white"/>
        </w:rPr>
        <w:t>)</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Pr>
          <w:rFonts w:ascii="Times New Roman" w:eastAsia="Times New Roman" w:hAnsi="Times New Roman" w:cs="Times New Roman"/>
          <w:sz w:val="24"/>
          <w:szCs w:val="24"/>
          <w:highlight w:val="white"/>
        </w:rPr>
        <w:t xml:space="preserve"> 5</w:t>
      </w:r>
      <w:r>
        <w:rPr>
          <w:rFonts w:ascii="Times New Roman" w:eastAsia="Times New Roman" w:hAnsi="Times New Roman" w:cs="Times New Roman"/>
          <w:sz w:val="24"/>
          <w:szCs w:val="24"/>
          <w:highlight w:val="white"/>
        </w:rPr>
        <w:t xml:space="preserve"> до тендерн</w:t>
      </w:r>
      <w:r>
        <w:rPr>
          <w:rFonts w:ascii="Times New Roman" w:eastAsia="Times New Roman" w:hAnsi="Times New Roman" w:cs="Times New Roman"/>
          <w:sz w:val="24"/>
          <w:szCs w:val="24"/>
          <w:highlight w:val="white"/>
        </w:rPr>
        <w:t>ої документації (цінова пропозиція</w:t>
      </w:r>
      <w:r>
        <w:rPr>
          <w:rFonts w:ascii="Times New Roman" w:eastAsia="Times New Roman" w:hAnsi="Times New Roman" w:cs="Times New Roman"/>
          <w:sz w:val="24"/>
          <w:szCs w:val="24"/>
          <w:highlight w:val="white"/>
        </w:rPr>
        <w:t>)</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до тендерн</w:t>
      </w:r>
      <w:r>
        <w:rPr>
          <w:rFonts w:ascii="Times New Roman" w:eastAsia="Times New Roman" w:hAnsi="Times New Roman" w:cs="Times New Roman"/>
          <w:sz w:val="24"/>
          <w:szCs w:val="24"/>
          <w:highlight w:val="white"/>
        </w:rPr>
        <w:t>ої документації (інформація про субпідрядників</w:t>
      </w:r>
      <w:r>
        <w:rPr>
          <w:rFonts w:ascii="Times New Roman" w:eastAsia="Times New Roman" w:hAnsi="Times New Roman" w:cs="Times New Roman"/>
          <w:sz w:val="24"/>
          <w:szCs w:val="24"/>
          <w:highlight w:val="white"/>
        </w:rPr>
        <w:t>)</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"Капітальний ремонт системи опалення та покрівлі Чорноморського ліцею №2 за адресою: місто Чорноморськ, проспект Миру, 17А"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"Капітальний ремонт системи опалення та покрівлі Чорноморського ліцею №2 за адресою: місто Чорноморськ, проспект Миру, 17А"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Одеський район, м.Чорноморськ, проспект Миру 17-А.</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6944"/>
        <w:gridCol w:w="1276"/>
        <w:gridCol w:w="1417"/>
      </w:tblGrid>
      <w:tr w:rsidR="00794BE1" w:rsidRPr="00D45B95" w:rsidTr="004E3149">
        <w:trPr>
          <w:jc w:val="center"/>
        </w:trPr>
        <w:tc>
          <w:tcPr>
            <w:tcW w:w="838"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w:t>
            </w: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п/п</w:t>
            </w:r>
          </w:p>
        </w:tc>
        <w:tc>
          <w:tcPr>
            <w:tcW w:w="6944"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Найменування робіт та витрат</w:t>
            </w: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Одиниця</w:t>
            </w:r>
          </w:p>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виміру</w:t>
            </w:r>
          </w:p>
        </w:tc>
        <w:tc>
          <w:tcPr>
            <w:tcW w:w="1417" w:type="dxa"/>
            <w:vAlign w:val="center"/>
          </w:tcPr>
          <w:p w:rsidR="00794BE1" w:rsidRPr="00D45B95" w:rsidRDefault="00794BE1" w:rsidP="00711510">
            <w:pPr>
              <w:keepLines/>
              <w:autoSpaceDE w:val="0"/>
              <w:autoSpaceDN w:val="0"/>
              <w:spacing w:after="0" w:line="240" w:lineRule="auto"/>
              <w:jc w:val="both"/>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 xml:space="preserve">  Кількість</w:t>
            </w:r>
          </w:p>
        </w:tc>
      </w:tr>
      <w:tr w:rsidR="00794BE1" w:rsidRPr="00D45B95" w:rsidTr="004E3149">
        <w:trPr>
          <w:jc w:val="center"/>
        </w:trPr>
        <w:tc>
          <w:tcPr>
            <w:tcW w:w="838"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1276"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1417"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eastAsia="en-US"/>
              </w:rPr>
            </w:pPr>
            <w:r w:rsidRPr="00D45B95">
              <w:rPr>
                <w:rFonts w:ascii="Times New Roman" w:eastAsia="Times New Roman" w:hAnsi="Times New Roman" w:cs="Times New Roman"/>
                <w:spacing w:val="-3"/>
                <w:sz w:val="24"/>
                <w:szCs w:val="24"/>
                <w:u w:val="single"/>
                <w:lang w:val="ru-RU" w:eastAsia="en-US"/>
              </w:rPr>
              <w:t>Локальний кошторис 02-01-01 на загальнобудівельні</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роботи</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1. Демонтажні роботи</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Розбирання покриттів покрівлі з рулонних матеріалів в 1-</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 шари</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447</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(Демонтаж) Установлення дрібних конструкцій</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[підвіконників, зливів, парапетів та ін.] масою до 0,5 т</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шт</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15</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Розбирання поясків, сандриків, жолобів, відливів, звисів</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тощо з листової сталі</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92,2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Відбивання штукатурки по цеглі та бетону зі стін та стель,</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площа відбивання в одному місці більше 5 м2</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37,5</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2. Цоколь</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5</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Розбирання облицювання стін з керамічних</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глазурованих плиток</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lastRenderedPageBreak/>
              <w:t>6</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Протравлення цементної штукатурки нейтралізуючим</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розчином</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7</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Поліпшене штукатурення цементно-вапняним розчином</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по каменю стін фасадів</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41,4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8</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Протравлення цементної штукатурки нейтралізуючим</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розчином</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9</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Поліпшене штукатурення цементно-вапняним розчином</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по каменю стін фасадів</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Облицювання поверхонь стін керамічними плитками на</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розчині із сухої клеючої суміші, число плиток в 1 м2</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понад 7 до 12 шт</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30,36</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3. Покрiвля</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11</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покрівель рулонних з матеріалів, що</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наплавляються, із застосуванням газопламеневих</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пальників, в два шари</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464,4</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12</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з листової сталі брандмауерів, парапетів</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28</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з листової сталі поясків, сандриків,</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підвіконних відливів</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8</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14</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Заміна ковпаків на димових і вентиляційних трубах в</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один канал</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шт</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15</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Навішування водостічних труб, колін, відливів і лійок з</w:t>
            </w:r>
          </w:p>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готових елементів</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12</w:t>
            </w:r>
          </w:p>
        </w:tc>
      </w:tr>
      <w:tr w:rsidR="00794BE1" w:rsidRPr="00D45B95" w:rsidTr="004E3149">
        <w:trPr>
          <w:jc w:val="center"/>
        </w:trPr>
        <w:tc>
          <w:tcPr>
            <w:tcW w:w="838"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16</w:t>
            </w:r>
          </w:p>
        </w:tc>
        <w:tc>
          <w:tcPr>
            <w:tcW w:w="6944"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жолобів підвісних</w:t>
            </w:r>
          </w:p>
        </w:tc>
        <w:tc>
          <w:tcPr>
            <w:tcW w:w="1276"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17" w:type="dxa"/>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66</w:t>
            </w: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Локальний кошторис 02-01-02 на Опалення</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1. Демонтаж</w:t>
            </w: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794BE1" w:rsidRPr="00D45B95" w:rsidTr="004E3149">
        <w:trPr>
          <w:jc w:val="center"/>
        </w:trPr>
        <w:tc>
          <w:tcPr>
            <w:tcW w:w="838"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944"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276"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17" w:type="dxa"/>
            <w:vAlign w:val="center"/>
          </w:tcPr>
          <w:p w:rsidR="00794BE1" w:rsidRPr="00D45B95" w:rsidRDefault="00794BE1"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bl>
    <w:tbl>
      <w:tblPr>
        <w:tblpPr w:leftFromText="180" w:rightFromText="180" w:vertAnchor="text" w:horzAnchor="margin" w:tblpX="-445" w:tblpY="301"/>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6804"/>
        <w:gridCol w:w="1429"/>
        <w:gridCol w:w="1429"/>
      </w:tblGrid>
      <w:tr w:rsidR="002360BE" w:rsidRPr="00D45B95" w:rsidTr="004E3149">
        <w:tc>
          <w:tcPr>
            <w:tcW w:w="841" w:type="dxa"/>
            <w:vAlign w:val="center"/>
          </w:tcPr>
          <w:p w:rsidR="002360BE" w:rsidRPr="00D45B95" w:rsidRDefault="002360BE" w:rsidP="004E3149">
            <w:pPr>
              <w:keepLines/>
              <w:autoSpaceDE w:val="0"/>
              <w:autoSpaceDN w:val="0"/>
              <w:spacing w:after="0" w:line="240" w:lineRule="auto"/>
              <w:ind w:left="-606" w:firstLine="606"/>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w:t>
            </w: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w:t>
            </w:r>
          </w:p>
        </w:tc>
        <w:tc>
          <w:tcPr>
            <w:tcW w:w="1429"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w:t>
            </w:r>
          </w:p>
        </w:tc>
        <w:tc>
          <w:tcPr>
            <w:tcW w:w="1429"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17</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(Демонтаж) Прокладання трубопроводів опалення зі</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сталевих електрозварних труб діаметром до 40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73,6</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2. Монтаж системи опалення</w:t>
            </w: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Прокладання трубопроводів водопостачання з труб</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поліетиленових [поліпропіленових] напірних діаметром</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20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36</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19</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Прокладання трубопроводів водопостачання з труб</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поліетиленових [поліпропіленових] напірних діаметром</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25 мм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20</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Ізоляція трубопроводів D25 мм трубками зі спіненого</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каучуку, поліетилену</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4</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Локальний кошторис 07-01-01 на благоустрій</w:t>
            </w: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1. Вимощення</w:t>
            </w: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21</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Планування площ ручним способом, група ґрунту 1</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22</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(Демонтаж) Улаштування покриттів з дрібнорозмірних</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фігурних елементів мощення [ФЭМ]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110</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23</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горизонтальної гідроізоляції фундаментів</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рулонними матеріалами в 1 шар</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24</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прошарку з геотекстилю</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25</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прошарків з плівки</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26</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вимощення з бетону товщиною покриття</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 см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lastRenderedPageBreak/>
              <w:t>27</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Укладання металевої сітки в цементно-бетонне покриття</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28</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pacing w:val="-3"/>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покриттів з дрібнорозмірних фігурних</w:t>
            </w:r>
          </w:p>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елементів мощення [ФЭМ]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м2</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137</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29</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Установлення бетонних поребриків на бетонну основу</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109</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30</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Улаштування водоскидних лотків</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5,5</w:t>
            </w: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u w:val="single"/>
                <w:lang w:val="ru-RU" w:eastAsia="en-US"/>
              </w:rPr>
              <w:t>Роздiл 2. Інші роботи</w:t>
            </w: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6804"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c>
          <w:tcPr>
            <w:tcW w:w="1429" w:type="dxa"/>
            <w:vAlign w:val="center"/>
          </w:tcPr>
          <w:p w:rsidR="002360BE" w:rsidRPr="00D45B95" w:rsidRDefault="002360BE" w:rsidP="004E3149">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31</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Навантаження сміття вручну</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т</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1,838</w:t>
            </w:r>
          </w:p>
        </w:tc>
      </w:tr>
      <w:tr w:rsidR="002360BE" w:rsidRPr="00D45B95" w:rsidTr="004E3149">
        <w:tc>
          <w:tcPr>
            <w:tcW w:w="841"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32</w:t>
            </w:r>
          </w:p>
        </w:tc>
        <w:tc>
          <w:tcPr>
            <w:tcW w:w="6804"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Перевезення сміття до 30 км</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т</w:t>
            </w:r>
          </w:p>
        </w:tc>
        <w:tc>
          <w:tcPr>
            <w:tcW w:w="1429" w:type="dxa"/>
          </w:tcPr>
          <w:p w:rsidR="002360BE" w:rsidRPr="00D45B95" w:rsidRDefault="002360BE" w:rsidP="004E3149">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D45B95">
              <w:rPr>
                <w:rFonts w:ascii="Times New Roman" w:eastAsia="Times New Roman" w:hAnsi="Times New Roman" w:cs="Times New Roman"/>
                <w:spacing w:val="-3"/>
                <w:sz w:val="24"/>
                <w:szCs w:val="24"/>
                <w:lang w:val="ru-RU" w:eastAsia="en-US"/>
              </w:rPr>
              <w:t>1,838</w:t>
            </w:r>
          </w:p>
        </w:tc>
      </w:tr>
    </w:tbl>
    <w:p w:rsidR="00794BE1" w:rsidRDefault="00794BE1" w:rsidP="004E3149">
      <w:pPr>
        <w:autoSpaceDE w:val="0"/>
        <w:autoSpaceDN w:val="0"/>
        <w:spacing w:after="0" w:line="240" w:lineRule="auto"/>
        <w:jc w:val="center"/>
        <w:rPr>
          <w:rFonts w:ascii="Times New Roman" w:eastAsia="Times New Roman" w:hAnsi="Times New Roman" w:cs="Times New Roman"/>
          <w:sz w:val="2"/>
          <w:szCs w:val="2"/>
          <w:lang w:val="ru-RU" w:eastAsia="en-US"/>
        </w:rPr>
      </w:pPr>
    </w:p>
    <w:p w:rsidR="00D45B95" w:rsidRDefault="00D45B95" w:rsidP="004E3149">
      <w:pPr>
        <w:autoSpaceDE w:val="0"/>
        <w:autoSpaceDN w:val="0"/>
        <w:spacing w:after="0" w:line="240" w:lineRule="auto"/>
        <w:jc w:val="center"/>
        <w:rPr>
          <w:rFonts w:ascii="Times New Roman" w:eastAsia="Times New Roman" w:hAnsi="Times New Roman" w:cs="Times New Roman"/>
          <w:sz w:val="2"/>
          <w:szCs w:val="2"/>
          <w:lang w:val="ru-RU" w:eastAsia="en-US"/>
        </w:rPr>
      </w:pPr>
    </w:p>
    <w:p w:rsidR="00D45B95" w:rsidRPr="00D45B95" w:rsidRDefault="00D45B95" w:rsidP="004E3149">
      <w:pPr>
        <w:jc w:val="center"/>
        <w:rPr>
          <w:rFonts w:ascii="Times New Roman" w:eastAsia="Times New Roman" w:hAnsi="Times New Roman" w:cs="Times New Roman"/>
          <w:sz w:val="2"/>
          <w:szCs w:val="2"/>
          <w:lang w:val="ru-RU" w:eastAsia="en-US"/>
        </w:rPr>
      </w:pPr>
    </w:p>
    <w:p w:rsidR="00D45B95" w:rsidRPr="00D45B95" w:rsidRDefault="00D45B95" w:rsidP="00711510">
      <w:pPr>
        <w:jc w:val="both"/>
        <w:rPr>
          <w:rFonts w:ascii="Times New Roman" w:eastAsia="Times New Roman" w:hAnsi="Times New Roman" w:cs="Times New Roman"/>
          <w:sz w:val="2"/>
          <w:szCs w:val="2"/>
          <w:lang w:val="ru-RU" w:eastAsia="en-US"/>
        </w:rPr>
      </w:pPr>
    </w:p>
    <w:p w:rsidR="00D45B95" w:rsidRPr="00D45B95" w:rsidRDefault="00D45B95" w:rsidP="00711510">
      <w:pPr>
        <w:jc w:val="both"/>
        <w:rPr>
          <w:rFonts w:ascii="Times New Roman" w:eastAsia="Times New Roman" w:hAnsi="Times New Roman" w:cs="Times New Roman"/>
          <w:sz w:val="2"/>
          <w:szCs w:val="2"/>
          <w:lang w:val="ru-RU" w:eastAsia="en-US"/>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 Чорноморськ, проспект Миру, 17-А»</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95689C" w:rsidRDefault="0095689C" w:rsidP="00F97778">
      <w:pPr>
        <w:spacing w:line="240" w:lineRule="auto"/>
        <w:contextualSpacing/>
        <w:jc w:val="center"/>
        <w:rPr>
          <w:rFonts w:ascii="Times New Roman" w:hAnsi="Times New Roman" w:cs="Times New Roman"/>
          <w:b/>
          <w:lang w:eastAsia="en-US"/>
        </w:rPr>
      </w:pPr>
    </w:p>
    <w:p w:rsidR="0095689C" w:rsidRDefault="0095689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 xml:space="preserve">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w:t>
      </w:r>
      <w:r w:rsidRPr="00F97778">
        <w:rPr>
          <w:rFonts w:ascii="Times New Roman" w:hAnsi="Times New Roman" w:cs="Times New Roman"/>
          <w:bCs/>
          <w:noProof/>
        </w:rPr>
        <w:lastRenderedPageBreak/>
        <w:t>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97778">
        <w:rPr>
          <w:rFonts w:ascii="Times New Roman" w:eastAsia="Times New Roman" w:hAnsi="Times New Roman" w:cs="Times New Roman"/>
          <w:lang w:val="ru-RU" w:eastAsia="ru-RU"/>
        </w:rPr>
        <w:t>на ринку</w:t>
      </w:r>
      <w:proofErr w:type="gramEnd"/>
      <w:r w:rsidRPr="00F97778">
        <w:rPr>
          <w:rFonts w:ascii="Times New Roman" w:eastAsia="Times New Roman" w:hAnsi="Times New Roman" w:cs="Times New Roman"/>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 xml:space="preserve">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w:t>
      </w:r>
      <w:r w:rsidRPr="00F97778">
        <w:rPr>
          <w:rFonts w:ascii="Times New Roman" w:hAnsi="Times New Roman" w:cs="Times New Roman"/>
          <w:lang w:eastAsia="en-US"/>
        </w:rPr>
        <w:lastRenderedPageBreak/>
        <w:t>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3 – План фінансування робіт. </w:t>
      </w:r>
    </w:p>
    <w:p w:rsidR="00F97778" w:rsidRPr="00F97778" w:rsidRDefault="00F97778" w:rsidP="00F97778">
      <w:pPr>
        <w:spacing w:line="240" w:lineRule="auto"/>
        <w:contextualSpacing/>
        <w:jc w:val="both"/>
        <w:rPr>
          <w:rFonts w:ascii="Times New Roman" w:hAnsi="Times New Roman" w:cs="Times New Roman"/>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F68F5">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6F68F5">
              <w:trPr>
                <w:trHeight w:val="6382"/>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Додаток № 1</w:t>
      </w: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F97778">
      <w:pPr>
        <w:spacing w:after="0" w:line="240" w:lineRule="auto"/>
        <w:ind w:leftChars="-1" w:left="1" w:hanging="3"/>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Pr="00F97778" w:rsidRDefault="00F97778" w:rsidP="00F97778">
      <w:pPr>
        <w:shd w:val="clear" w:color="auto" w:fill="FFFFFF"/>
        <w:spacing w:after="0" w:line="240" w:lineRule="auto"/>
        <w:ind w:left="96"/>
        <w:jc w:val="center"/>
        <w:rPr>
          <w:rFonts w:ascii="Times New Roman" w:hAnsi="Times New Roman" w:cs="Times New Roman"/>
          <w:b/>
          <w:lang w:eastAsia="en-US"/>
        </w:rPr>
      </w:pPr>
      <w:r w:rsidRPr="00F97778">
        <w:rPr>
          <w:rFonts w:ascii="Times New Roman" w:hAnsi="Times New Roman" w:cs="Times New Roman"/>
          <w:b/>
          <w:lang w:eastAsia="en-US"/>
        </w:rPr>
        <w:t xml:space="preserve">Капітальний ремонт системи опалення Чорноморського ліцею № 2 Чорноморської міської ради Одеського району Одеської області за адресою: Одеська область, Одеський район, місто Чорноморськ, проспект Миру, 17-А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F97778" w:rsidRDefault="00F97778" w:rsidP="00F97778">
      <w:pPr>
        <w:spacing w:after="0" w:line="240" w:lineRule="auto"/>
        <w:ind w:firstLine="709"/>
        <w:jc w:val="both"/>
        <w:rPr>
          <w:rFonts w:ascii="Times New Roman" w:hAnsi="Times New Roman" w:cs="Times New Roman"/>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 xml:space="preserve">: </w:t>
      </w:r>
      <w:r w:rsidRPr="00F97778">
        <w:rPr>
          <w:rFonts w:ascii="Times New Roman" w:hAnsi="Times New Roman" w:cs="Times New Roman"/>
          <w:b/>
          <w:lang w:eastAsia="en-US"/>
        </w:rPr>
        <w:t>Капітальний ремонт системи опалення Чорноморського ліцею № 2 Чорноморської міської ради Одеського району Одеської області за адресою: Одеська область, Одеський район, місто Чорноморськ, проспект Миру, 17-А</w:t>
      </w:r>
      <w:r w:rsidRPr="00F97778">
        <w:rPr>
          <w:rFonts w:ascii="Times New Roman" w:hAnsi="Times New Roman" w:cs="Times New Roman"/>
          <w:lang w:eastAsia="en-US"/>
        </w:rPr>
        <w:t>.</w:t>
      </w:r>
    </w:p>
    <w:p w:rsidR="00F97778" w:rsidRPr="00F97778" w:rsidRDefault="00F9777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F68F5">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F68F5">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e-mail: chornomorskvo@gmail.com, miskvo@ukr.net</w:t>
            </w:r>
          </w:p>
          <w:p w:rsidR="00F97778" w:rsidRPr="00F97778"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F97778">
              <w:rPr>
                <w:rFonts w:ascii="Times New Roman" w:eastAsia="Times New Roman" w:hAnsi="Times New Roman" w:cs="Arial"/>
                <w:spacing w:val="-1"/>
                <w:lang w:val="en-US" w:eastAsia="ru-RU"/>
              </w:rPr>
              <w:t xml:space="preserve"> 05406623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eastAsia="ru-RU"/>
              </w:rPr>
              <w:t>Розрахункові</w:t>
            </w:r>
            <w:r w:rsidRPr="00F97778">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рахунки</w:t>
            </w:r>
            <w:r w:rsidRPr="00F97778">
              <w:rPr>
                <w:rFonts w:ascii="Times New Roman" w:eastAsia="Times New Roman" w:hAnsi="Times New Roman" w:cs="Arial"/>
                <w:spacing w:val="-1"/>
                <w:lang w:val="en-US" w:eastAsia="ru-RU"/>
              </w:rPr>
              <w:t>:</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 378201720344211019400019188</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 778201720344281019100019188</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F97778"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F97778">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F97778">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F97778">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Київ</w:t>
            </w:r>
            <w:r w:rsidRPr="00F97778">
              <w:rPr>
                <w:rFonts w:ascii="Times New Roman" w:eastAsia="Times New Roman" w:hAnsi="Times New Roman" w:cs="Arial"/>
                <w:spacing w:val="-2"/>
                <w:lang w:val="en-US" w:eastAsia="ru-RU"/>
              </w:rPr>
              <w:t xml:space="preserve">    </w:t>
            </w:r>
          </w:p>
          <w:p w:rsidR="00F97778" w:rsidRPr="00F97778"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ab/>
            </w:r>
          </w:p>
          <w:p w:rsidR="00F97778" w:rsidRPr="00F97778"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F97778"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F97778"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lang w:val="en-US" w:eastAsia="ru-RU"/>
              </w:rPr>
              <w:t>___________________*</w:t>
            </w:r>
            <w:r w:rsidRPr="00F97778">
              <w:rPr>
                <w:rFonts w:ascii="Times New Roman" w:eastAsia="Times New Roman" w:hAnsi="Times New Roman" w:cs="Arial"/>
                <w:spacing w:val="-1"/>
                <w:lang w:val="en-US" w:eastAsia="ru-RU"/>
              </w:rPr>
              <w:t xml:space="preserve"> </w:t>
            </w:r>
          </w:p>
          <w:p w:rsidR="00F97778" w:rsidRPr="00F97778" w:rsidRDefault="00F97778" w:rsidP="00F97778">
            <w:pPr>
              <w:spacing w:after="0" w:line="240" w:lineRule="auto"/>
              <w:textAlignment w:val="baseline"/>
              <w:rPr>
                <w:rFonts w:eastAsia="Times New Roman" w:cs="Times New Roman"/>
                <w:highlight w:val="yellow"/>
                <w:lang w:val="en-US" w:eastAsia="ru-RU"/>
              </w:rPr>
            </w:pPr>
            <w:r w:rsidRPr="00F97778">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F97778">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F97778">
              <w:rPr>
                <w:rFonts w:ascii="Times New Roman" w:eastAsia="Times New Roman" w:hAnsi="Times New Roman" w:cs="Arial"/>
                <w:spacing w:val="-1"/>
                <w:lang w:val="en-US" w:eastAsia="ru-RU"/>
              </w:rPr>
              <w:t>.</w:t>
            </w:r>
          </w:p>
        </w:tc>
        <w:tc>
          <w:tcPr>
            <w:tcW w:w="4749" w:type="dxa"/>
          </w:tcPr>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97778"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F97778"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F97778"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F97778"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5"/>
        <w:gridCol w:w="3968"/>
        <w:gridCol w:w="1131"/>
        <w:gridCol w:w="1379"/>
        <w:gridCol w:w="1104"/>
      </w:tblGrid>
      <w:tr w:rsidR="00F97778" w:rsidRPr="00F97778" w:rsidTr="006F68F5">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F97778" w:rsidRPr="00F97778" w:rsidTr="006F68F5">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F97778" w:rsidRPr="00F97778" w:rsidTr="006F68F5">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F97778" w:rsidRPr="00F97778" w:rsidTr="006F68F5">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м.Чорноморськ, проспект Миру, 17-А.</w:t>
            </w:r>
          </w:p>
          <w:p w:rsidR="00F97778" w:rsidRPr="00F97778" w:rsidRDefault="00F97778" w:rsidP="00F97778">
            <w:pPr>
              <w:spacing w:before="100" w:beforeAutospacing="1" w:after="100" w:afterAutospacing="1" w:line="259" w:lineRule="auto"/>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F68F5">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F68F5">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F68F5">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F68F5">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покрівлі Чорноморського ліцею № 2 Чорноморської міської ради Одеського району Одеської області, розташованого за адресою: Одеська область, Одеський район м.Чорноморськ, проспект Миру, 17-А.</w:t>
            </w:r>
          </w:p>
          <w:p w:rsidR="00F97778" w:rsidRPr="00F97778" w:rsidRDefault="00F97778" w:rsidP="00F97778">
            <w:pPr>
              <w:shd w:val="clear" w:color="auto" w:fill="FFFFFF"/>
              <w:spacing w:after="0" w:line="259" w:lineRule="auto"/>
              <w:ind w:right="1042"/>
              <w:jc w:val="center"/>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F68F5">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F68F5">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"Капітальний ремонт системи опалення та покрівлі Чорноморського ліцею №2 за адресою: місто Ч</w:t>
      </w:r>
      <w:r>
        <w:rPr>
          <w:rFonts w:ascii="Times New Roman" w:hAnsi="Times New Roman" w:cs="Times New Roman"/>
          <w:b/>
          <w:sz w:val="24"/>
          <w:szCs w:val="24"/>
        </w:rPr>
        <w:t xml:space="preserve">орноморськ, проспект Миру, 17А"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"Капітальний ремонт системи опалення та покрівлі Чорноморського ліцею №2 за адресою: місто Ч</w:t>
      </w:r>
      <w:r w:rsidR="00AF16AC">
        <w:rPr>
          <w:rFonts w:ascii="Times New Roman" w:hAnsi="Times New Roman" w:cs="Times New Roman"/>
          <w:b/>
          <w:sz w:val="24"/>
          <w:szCs w:val="24"/>
        </w:rPr>
        <w:t xml:space="preserve">орноморськ, проспект Миру, 17А"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77"/>
        <w:gridCol w:w="3686"/>
      </w:tblGrid>
      <w:tr w:rsidR="00307F60" w:rsidRPr="00307F60" w:rsidTr="00C2241F">
        <w:trPr>
          <w:trHeight w:val="1294"/>
        </w:trPr>
        <w:tc>
          <w:tcPr>
            <w:tcW w:w="2835"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2977"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686"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C2241F">
        <w:trPr>
          <w:trHeight w:val="279"/>
        </w:trPr>
        <w:tc>
          <w:tcPr>
            <w:tcW w:w="2835" w:type="dxa"/>
          </w:tcPr>
          <w:p w:rsidR="00307F60" w:rsidRPr="00307F60" w:rsidRDefault="00307F60" w:rsidP="00711510">
            <w:pPr>
              <w:pStyle w:val="TableParagraph"/>
              <w:ind w:left="0"/>
              <w:jc w:val="both"/>
              <w:rPr>
                <w:sz w:val="24"/>
                <w:szCs w:val="24"/>
                <w:lang w:val="ru-RU"/>
              </w:rPr>
            </w:pPr>
          </w:p>
        </w:tc>
        <w:tc>
          <w:tcPr>
            <w:tcW w:w="2977" w:type="dxa"/>
          </w:tcPr>
          <w:p w:rsidR="00307F60" w:rsidRPr="00307F60" w:rsidRDefault="00307F60" w:rsidP="00711510">
            <w:pPr>
              <w:pStyle w:val="TableParagraph"/>
              <w:ind w:left="0"/>
              <w:jc w:val="both"/>
              <w:rPr>
                <w:sz w:val="24"/>
                <w:szCs w:val="24"/>
                <w:lang w:val="ru-RU"/>
              </w:rPr>
            </w:pPr>
          </w:p>
        </w:tc>
        <w:tc>
          <w:tcPr>
            <w:tcW w:w="3686"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07" w:rsidRDefault="00FC1007" w:rsidP="000B7044">
      <w:pPr>
        <w:spacing w:after="0" w:line="240" w:lineRule="auto"/>
      </w:pPr>
      <w:r>
        <w:separator/>
      </w:r>
    </w:p>
  </w:endnote>
  <w:endnote w:type="continuationSeparator" w:id="0">
    <w:p w:rsidR="00FC1007" w:rsidRDefault="00FC1007"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EndPr/>
    <w:sdtContent>
      <w:p w:rsidR="00D3271F" w:rsidRDefault="00D3271F">
        <w:pPr>
          <w:pStyle w:val="a8"/>
          <w:jc w:val="right"/>
        </w:pPr>
        <w:r>
          <w:rPr>
            <w:noProof/>
            <w:lang w:val="ru-RU"/>
          </w:rPr>
          <w:fldChar w:fldCharType="begin"/>
        </w:r>
        <w:r>
          <w:rPr>
            <w:noProof/>
            <w:lang w:val="ru-RU"/>
          </w:rPr>
          <w:instrText>PAGE   \* MERGEFORMAT</w:instrText>
        </w:r>
        <w:r>
          <w:rPr>
            <w:noProof/>
            <w:lang w:val="ru-RU"/>
          </w:rPr>
          <w:fldChar w:fldCharType="separate"/>
        </w:r>
        <w:r w:rsidR="00525084">
          <w:rPr>
            <w:noProof/>
            <w:lang w:val="ru-RU"/>
          </w:rPr>
          <w:t>51</w:t>
        </w:r>
        <w:r>
          <w:rPr>
            <w:noProof/>
            <w:lang w:val="ru-RU"/>
          </w:rPr>
          <w:fldChar w:fldCharType="end"/>
        </w:r>
      </w:p>
    </w:sdtContent>
  </w:sdt>
  <w:p w:rsidR="00D3271F" w:rsidRDefault="00D327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07" w:rsidRDefault="00FC1007" w:rsidP="000B7044">
      <w:pPr>
        <w:spacing w:after="0" w:line="240" w:lineRule="auto"/>
      </w:pPr>
      <w:r>
        <w:separator/>
      </w:r>
    </w:p>
  </w:footnote>
  <w:footnote w:type="continuationSeparator" w:id="0">
    <w:p w:rsidR="00FC1007" w:rsidRDefault="00FC1007"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113813"/>
    <w:rsid w:val="00116F94"/>
    <w:rsid w:val="001832A1"/>
    <w:rsid w:val="00183B05"/>
    <w:rsid w:val="001C1A11"/>
    <w:rsid w:val="001D30CB"/>
    <w:rsid w:val="001D75D5"/>
    <w:rsid w:val="001E2A70"/>
    <w:rsid w:val="001F2F08"/>
    <w:rsid w:val="00235420"/>
    <w:rsid w:val="002360BE"/>
    <w:rsid w:val="002435EC"/>
    <w:rsid w:val="00267C53"/>
    <w:rsid w:val="0028471D"/>
    <w:rsid w:val="002949C0"/>
    <w:rsid w:val="002A134F"/>
    <w:rsid w:val="002A213B"/>
    <w:rsid w:val="002B30D8"/>
    <w:rsid w:val="002C58FC"/>
    <w:rsid w:val="00307F60"/>
    <w:rsid w:val="00327AFB"/>
    <w:rsid w:val="00332DB8"/>
    <w:rsid w:val="00356081"/>
    <w:rsid w:val="00366DC2"/>
    <w:rsid w:val="0038353C"/>
    <w:rsid w:val="0038679B"/>
    <w:rsid w:val="003C2967"/>
    <w:rsid w:val="003E2528"/>
    <w:rsid w:val="003E5B0C"/>
    <w:rsid w:val="003F3F3C"/>
    <w:rsid w:val="003F54FC"/>
    <w:rsid w:val="004073BF"/>
    <w:rsid w:val="004135DA"/>
    <w:rsid w:val="004243C0"/>
    <w:rsid w:val="004473DE"/>
    <w:rsid w:val="0046198A"/>
    <w:rsid w:val="00491203"/>
    <w:rsid w:val="004A6228"/>
    <w:rsid w:val="004B1E21"/>
    <w:rsid w:val="004D0C7A"/>
    <w:rsid w:val="004E3149"/>
    <w:rsid w:val="004E367E"/>
    <w:rsid w:val="0050607E"/>
    <w:rsid w:val="005127CE"/>
    <w:rsid w:val="00525084"/>
    <w:rsid w:val="00576C38"/>
    <w:rsid w:val="00585F8C"/>
    <w:rsid w:val="005A2B4A"/>
    <w:rsid w:val="005F5009"/>
    <w:rsid w:val="00635BD4"/>
    <w:rsid w:val="0064137C"/>
    <w:rsid w:val="006741BC"/>
    <w:rsid w:val="006820ED"/>
    <w:rsid w:val="00693AAE"/>
    <w:rsid w:val="006959B5"/>
    <w:rsid w:val="00697ADE"/>
    <w:rsid w:val="006D040C"/>
    <w:rsid w:val="006E79C1"/>
    <w:rsid w:val="006F2BFF"/>
    <w:rsid w:val="007018AA"/>
    <w:rsid w:val="00711510"/>
    <w:rsid w:val="00722868"/>
    <w:rsid w:val="00724B5A"/>
    <w:rsid w:val="00726937"/>
    <w:rsid w:val="0073185C"/>
    <w:rsid w:val="00747FA3"/>
    <w:rsid w:val="00751405"/>
    <w:rsid w:val="00773B7E"/>
    <w:rsid w:val="00783AFE"/>
    <w:rsid w:val="00794BE1"/>
    <w:rsid w:val="00795F0C"/>
    <w:rsid w:val="007A334D"/>
    <w:rsid w:val="007A3D21"/>
    <w:rsid w:val="007C56EC"/>
    <w:rsid w:val="007E09AB"/>
    <w:rsid w:val="007E1616"/>
    <w:rsid w:val="007E6AE4"/>
    <w:rsid w:val="007F08D7"/>
    <w:rsid w:val="00886E62"/>
    <w:rsid w:val="008B5AF4"/>
    <w:rsid w:val="008B69CA"/>
    <w:rsid w:val="008D69BA"/>
    <w:rsid w:val="008F2E7D"/>
    <w:rsid w:val="00914ACA"/>
    <w:rsid w:val="00940C88"/>
    <w:rsid w:val="00943DC8"/>
    <w:rsid w:val="0095689C"/>
    <w:rsid w:val="009627E3"/>
    <w:rsid w:val="00970806"/>
    <w:rsid w:val="00977509"/>
    <w:rsid w:val="00994FB3"/>
    <w:rsid w:val="009C62FC"/>
    <w:rsid w:val="009D71CB"/>
    <w:rsid w:val="009E383D"/>
    <w:rsid w:val="009F2DD8"/>
    <w:rsid w:val="00A34D5E"/>
    <w:rsid w:val="00A67DC7"/>
    <w:rsid w:val="00AE092F"/>
    <w:rsid w:val="00AF16AC"/>
    <w:rsid w:val="00B01F15"/>
    <w:rsid w:val="00B30200"/>
    <w:rsid w:val="00B40DA5"/>
    <w:rsid w:val="00B43BC4"/>
    <w:rsid w:val="00B9297A"/>
    <w:rsid w:val="00BB358A"/>
    <w:rsid w:val="00BD0B6B"/>
    <w:rsid w:val="00BE5F97"/>
    <w:rsid w:val="00C07B42"/>
    <w:rsid w:val="00C2241F"/>
    <w:rsid w:val="00C25CA5"/>
    <w:rsid w:val="00C34309"/>
    <w:rsid w:val="00C42DBD"/>
    <w:rsid w:val="00C47DDE"/>
    <w:rsid w:val="00C540D1"/>
    <w:rsid w:val="00C558DE"/>
    <w:rsid w:val="00C77E1B"/>
    <w:rsid w:val="00CA6767"/>
    <w:rsid w:val="00CB6BA8"/>
    <w:rsid w:val="00CC34C5"/>
    <w:rsid w:val="00CE552B"/>
    <w:rsid w:val="00D3271F"/>
    <w:rsid w:val="00D45B95"/>
    <w:rsid w:val="00D76E1A"/>
    <w:rsid w:val="00D80E82"/>
    <w:rsid w:val="00DA3322"/>
    <w:rsid w:val="00DE60E0"/>
    <w:rsid w:val="00DE7BF0"/>
    <w:rsid w:val="00E00081"/>
    <w:rsid w:val="00E05716"/>
    <w:rsid w:val="00E202CE"/>
    <w:rsid w:val="00E23757"/>
    <w:rsid w:val="00E34CCD"/>
    <w:rsid w:val="00E66FD1"/>
    <w:rsid w:val="00E86CB8"/>
    <w:rsid w:val="00E878BB"/>
    <w:rsid w:val="00EB486F"/>
    <w:rsid w:val="00EC39E5"/>
    <w:rsid w:val="00ED6E01"/>
    <w:rsid w:val="00EE60B9"/>
    <w:rsid w:val="00F079FA"/>
    <w:rsid w:val="00F470F0"/>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03CF"/>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01"/>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AD04-3E4C-4D91-8557-AA46B0A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51</Pages>
  <Words>92903</Words>
  <Characters>52956</Characters>
  <Application>Microsoft Office Word</Application>
  <DocSecurity>0</DocSecurity>
  <Lines>441</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2024-04-01T10:53:00Z</dcterms:created>
  <dcterms:modified xsi:type="dcterms:W3CDTF">2024-04-02T09:27:00Z</dcterms:modified>
</cp:coreProperties>
</file>