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C" w:rsidRPr="0030525C" w:rsidRDefault="0030525C" w:rsidP="0030525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  <w:r w:rsidRPr="0030525C">
        <w:rPr>
          <w:rFonts w:ascii="Times New Roman" w:eastAsia="Calibri" w:hAnsi="Times New Roman" w:cs="Times New Roman"/>
          <w:b/>
          <w:bCs/>
        </w:rPr>
        <w:t>Додаток № 3 до тендерної документації</w:t>
      </w:r>
    </w:p>
    <w:p w:rsidR="0030525C" w:rsidRPr="0030525C" w:rsidRDefault="0030525C" w:rsidP="0030525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30525C" w:rsidRPr="0030525C" w:rsidRDefault="0030525C" w:rsidP="0030525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30525C">
        <w:rPr>
          <w:rFonts w:ascii="Times New Roman" w:eastAsia="Calibri" w:hAnsi="Times New Roman" w:cs="Times New Roman"/>
          <w:b/>
          <w:bCs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30525C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:rsidR="0030525C" w:rsidRPr="0030525C" w:rsidRDefault="0030525C" w:rsidP="0030525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самостійно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визначає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необхідні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техн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ічні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характеристики предмета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з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огляду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на</w:t>
      </w:r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специфік</w:t>
      </w:r>
      <w:r w:rsidRPr="0030525C">
        <w:rPr>
          <w:rFonts w:ascii="Times New Roman" w:eastAsia="Times New Roman" w:hAnsi="Times New Roman" w:cs="Times New Roman"/>
          <w:position w:val="-1"/>
          <w:lang w:val="ru-RU"/>
        </w:rPr>
        <w:t>у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предмета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керуючись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принципами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здійснення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закупівель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з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дотриманням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законодавства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Фактом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подання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тендерної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пропозиції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учасник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</w:t>
      </w:r>
      <w:proofErr w:type="gram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ідтверджує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відповідність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своєї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пропозиції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технічним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якісним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кількісним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функціональним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характеристикам до предмета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у тому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числі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технічній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специфікації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(у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разі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потреби – планам,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кресленням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малюнкам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опису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предмета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) 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іншим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вимогам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до предмет</w:t>
      </w:r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а</w:t>
      </w:r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містяться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в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тендерній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документації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цьому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додатку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також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</w:t>
      </w:r>
      <w:proofErr w:type="gram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ідтверджує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можливість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поставки товару</w:t>
      </w:r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в</w:t>
      </w:r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ідповідно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до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вимог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визначених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згідно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з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умовами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тендерної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документації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.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У</w:t>
      </w:r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місцях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де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ічна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специфікація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містить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посилання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конкретні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марку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виробника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конкретний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процес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характеризує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продукт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послугу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певного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суб’єкта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господарювання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торгові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марки,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патенти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типи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конкретне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місце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походження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спосіб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виробництва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вважати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вираз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 </w:t>
      </w:r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«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еквівалент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»</w:t>
      </w:r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.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У</w:t>
      </w:r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місцях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де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ічна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специфікація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містить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посилання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стандартні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характеристики,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технічні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регламенти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умови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вимоги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умовні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позначення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термінологію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пов’язані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з товарами, роботами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послугами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закуповуються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передбачені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існуючими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міжнародними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європейськими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стандартами,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іншими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спільними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технічними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європейськими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нормами,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іншими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технічними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еталонними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системами,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визнаними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європейськими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органами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зі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стандартизації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національними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стандартами, нормами та правилами,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б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іля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кожного такого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посилання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вважати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вираз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«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еквівалент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». </w:t>
      </w:r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Таким чином,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вважається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до кожного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посилання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додається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вираз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«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еквівалент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».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Обґрунтування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необхідності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</w:t>
      </w:r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вл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даного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виду товару –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здійснює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закупівлю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даного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виду товару,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оскільки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він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своїми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якісними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технічними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характеристиками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найбільше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відповідатиме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вимогам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потребам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</w:p>
    <w:p w:rsidR="0030525C" w:rsidRPr="0030525C" w:rsidRDefault="0030525C" w:rsidP="0030525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160" w:line="259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Детальний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опис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предмета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закупі</w:t>
      </w:r>
      <w:proofErr w:type="gram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вл</w:t>
      </w:r>
      <w:proofErr w:type="gram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:</w:t>
      </w:r>
    </w:p>
    <w:tbl>
      <w:tblPr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30525C" w:rsidRPr="0030525C" w:rsidTr="00EC1D8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</w:pPr>
            <w:proofErr w:type="spell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Назва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 предмета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закупі</w:t>
            </w:r>
            <w:proofErr w:type="gram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вл</w:t>
            </w:r>
            <w:proofErr w:type="gram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і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</w:pP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Природний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газ</w:t>
            </w:r>
          </w:p>
        </w:tc>
      </w:tr>
      <w:tr w:rsidR="0030525C" w:rsidRPr="0030525C" w:rsidTr="00EC1D8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</w:pPr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Код ДК 021:2015 за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Єдиним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закупівельним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09120000-6 –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газове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паливо</w:t>
            </w:r>
            <w:proofErr w:type="spellEnd"/>
          </w:p>
        </w:tc>
      </w:tr>
      <w:tr w:rsidR="0030525C" w:rsidRPr="0030525C" w:rsidTr="00EC1D8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shd w:val="clear" w:color="auto" w:fill="FFFFFF"/>
              <w:suppressAutoHyphens/>
              <w:spacing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30525C">
              <w:rPr>
                <w:rFonts w:ascii="Times New Roman" w:eastAsia="Times New Roman" w:hAnsi="Times New Roman" w:cs="Times New Roman"/>
                <w:position w:val="-1"/>
                <w:highlight w:val="white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shd w:val="clear" w:color="auto" w:fill="FFFFFF"/>
              <w:suppressAutoHyphens/>
              <w:spacing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proofErr w:type="spell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Природний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 газ: код 09123000-7 —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природний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 газ</w:t>
            </w:r>
          </w:p>
        </w:tc>
      </w:tr>
      <w:tr w:rsidR="0030525C" w:rsidRPr="0030525C" w:rsidTr="00EC1D8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</w:pPr>
            <w:bookmarkStart w:id="0" w:name="_heading=h.6nupd4wi4rmk" w:colFirst="0" w:colLast="0"/>
            <w:bookmarkEnd w:id="0"/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Одиниці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метри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кубічні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</w:t>
            </w:r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(м куб.)</w:t>
            </w:r>
          </w:p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ru-RU"/>
              </w:rPr>
            </w:pPr>
          </w:p>
        </w:tc>
      </w:tr>
      <w:tr w:rsidR="0030525C" w:rsidRPr="0030525C" w:rsidTr="00EC1D8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</w:pP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Кількість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(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обсяг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), м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59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highlight w:val="yellow"/>
              </w:rPr>
            </w:pPr>
            <w:r w:rsidRPr="0030525C">
              <w:rPr>
                <w:rFonts w:ascii="Times New Roman" w:eastAsia="Times New Roman" w:hAnsi="Times New Roman" w:cs="Times New Roman"/>
                <w:position w:val="-1"/>
              </w:rPr>
              <w:t>8100</w:t>
            </w:r>
          </w:p>
        </w:tc>
      </w:tr>
      <w:tr w:rsidR="0030525C" w:rsidRPr="0030525C" w:rsidTr="00EC1D8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</w:pP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Місце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FF0000"/>
                <w:position w:val="-1"/>
                <w:lang w:val="ru-RU"/>
              </w:rPr>
            </w:pPr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вул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. Є. Коновальця,1, м.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Львів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,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Україна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, 79013 </w:t>
            </w:r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 xml:space="preserve">(у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загальному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потоці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природний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 xml:space="preserve"> газ у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внутрішній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точці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виходу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 xml:space="preserve"> з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газотранспортної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системи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i/>
                <w:position w:val="-1"/>
                <w:lang w:val="ru-RU"/>
              </w:rPr>
              <w:t>)</w:t>
            </w:r>
          </w:p>
        </w:tc>
      </w:tr>
      <w:tr w:rsidR="0030525C" w:rsidRPr="0030525C" w:rsidTr="00EC1D8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</w:pPr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25C" w:rsidRPr="0030525C" w:rsidRDefault="0030525C" w:rsidP="00EC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59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</w:pPr>
            <w:proofErr w:type="spellStart"/>
            <w:proofErr w:type="gramStart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Ц</w:t>
            </w:r>
            <w:proofErr w:type="gram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>ілодобово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 до 31.12.20</w:t>
            </w:r>
            <w:r w:rsidRPr="0030525C">
              <w:rPr>
                <w:rFonts w:ascii="Times New Roman" w:eastAsia="Times New Roman" w:hAnsi="Times New Roman" w:cs="Times New Roman"/>
                <w:position w:val="-1"/>
              </w:rPr>
              <w:t>23</w:t>
            </w:r>
            <w:r w:rsidRPr="0030525C">
              <w:rPr>
                <w:rFonts w:ascii="Times New Roman" w:eastAsia="Times New Roman" w:hAnsi="Times New Roman" w:cs="Times New Roman"/>
                <w:position w:val="-1"/>
                <w:lang w:val="ru-RU"/>
              </w:rPr>
              <w:t xml:space="preserve"> </w:t>
            </w:r>
            <w:proofErr w:type="spellStart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>включно</w:t>
            </w:r>
            <w:proofErr w:type="spellEnd"/>
            <w:r w:rsidRPr="0030525C">
              <w:rPr>
                <w:rFonts w:ascii="Times New Roman" w:eastAsia="Times New Roman" w:hAnsi="Times New Roman" w:cs="Times New Roman"/>
                <w:color w:val="000000"/>
                <w:position w:val="-1"/>
                <w:lang w:val="ru-RU"/>
              </w:rPr>
              <w:t xml:space="preserve">. </w:t>
            </w:r>
          </w:p>
        </w:tc>
      </w:tr>
    </w:tbl>
    <w:p w:rsidR="0030525C" w:rsidRPr="0030525C" w:rsidRDefault="0030525C" w:rsidP="0030525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</w:p>
    <w:p w:rsidR="0030525C" w:rsidRPr="0030525C" w:rsidRDefault="0030525C" w:rsidP="003052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</w:p>
    <w:p w:rsidR="0030525C" w:rsidRPr="0030525C" w:rsidRDefault="0030525C" w:rsidP="0030525C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30525C" w:rsidRPr="0030525C" w:rsidRDefault="0030525C" w:rsidP="0030525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lastRenderedPageBreak/>
        <w:t>Постачання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природного газу,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його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техн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>ічні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якісні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характеристики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повинні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відповідати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 нормам чинного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законодавства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України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>:</w:t>
      </w:r>
    </w:p>
    <w:p w:rsidR="0030525C" w:rsidRPr="0030525C" w:rsidRDefault="0030525C" w:rsidP="0030525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Закону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України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ринок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gram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природного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газу» № 329-VIII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09.04.2015;</w:t>
      </w:r>
    </w:p>
    <w:p w:rsidR="0030525C" w:rsidRPr="0030525C" w:rsidRDefault="0030525C" w:rsidP="0030525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Правилам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постачання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gram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природного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газу,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затвердженим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постановою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Національної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комісії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здійснює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державне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регулювання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у сферах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енергетики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комунальних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послуг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30.09.2015 № 2496;</w:t>
      </w:r>
    </w:p>
    <w:p w:rsidR="0030525C" w:rsidRPr="0030525C" w:rsidRDefault="0030525C" w:rsidP="0030525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Кодексу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газотранспортної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системи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затвердженому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постановою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Національної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комісії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здійснює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державне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регулювання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gram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у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сферах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енергетики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комунальних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послуг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30.09.2015 № 2493;</w:t>
      </w:r>
    </w:p>
    <w:p w:rsidR="0030525C" w:rsidRPr="0030525C" w:rsidRDefault="0030525C" w:rsidP="0030525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Кодексу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газорозподільних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систем,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затвердженому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постановою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Національної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комісії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здійснює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державне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регулювання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gram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у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сферах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енергетики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комунальних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послуг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30.09.2015 № 2494;</w:t>
      </w:r>
    </w:p>
    <w:p w:rsidR="0030525C" w:rsidRPr="0030525C" w:rsidRDefault="0030525C" w:rsidP="0030525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іншим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нормативно-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правовим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актам,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прийнятим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виконання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України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ринок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gram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природного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газу».</w:t>
      </w:r>
    </w:p>
    <w:p w:rsidR="0030525C" w:rsidRPr="0030525C" w:rsidRDefault="0030525C" w:rsidP="003052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59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Вимоги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щодо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якості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 xml:space="preserve">предмета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. </w:t>
      </w:r>
    </w:p>
    <w:p w:rsidR="0030525C" w:rsidRDefault="0030525C" w:rsidP="0030525C">
      <w:pPr>
        <w:shd w:val="clear" w:color="auto" w:fill="FFFFFF"/>
        <w:suppressAutoHyphens/>
        <w:spacing w:after="0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proofErr w:type="spellStart"/>
      <w:proofErr w:type="gram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Якість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фізико-хімічні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показники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(ФХП) та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інші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характеристики природного газу,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який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постачається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замовнику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повинні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відповідати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вимогам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визначеним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Кодексом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газотранспортної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системи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затвердженим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постановою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Національної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комісії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здійснює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державне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регулювання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у сферах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енергетики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комунальних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послуг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30.09.2015 № 2493 (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далі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— Кодекс № 2493), Кодексом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газорозподільних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систем,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затвердженим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постановою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Національної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коміс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>ії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здійснює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державне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регулювання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gram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у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сферах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енергетики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комунальних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послуг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30.09.2015 № 2494 (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далі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— Кодекс № 2494).</w:t>
      </w:r>
    </w:p>
    <w:p w:rsidR="0030525C" w:rsidRDefault="0030525C" w:rsidP="0030525C">
      <w:pPr>
        <w:shd w:val="clear" w:color="auto" w:fill="FFFFFF"/>
        <w:suppressAutoHyphens/>
        <w:spacing w:after="0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За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одиницю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виміру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кількості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природного газу при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його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обл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іку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приймається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один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кубічний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метр (куб. м), приведений до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стандартних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умов: температура (t) = 20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градусів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Цельсієм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тиск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(Р) = 760 мм ртутного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стовпчика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(101,325 кПа).</w:t>
      </w:r>
    </w:p>
    <w:p w:rsidR="00166CE0" w:rsidRPr="0030525C" w:rsidRDefault="00166CE0" w:rsidP="0030525C">
      <w:pPr>
        <w:shd w:val="clear" w:color="auto" w:fill="FFFFFF"/>
        <w:suppressAutoHyphens/>
        <w:spacing w:after="0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</w:p>
    <w:p w:rsidR="0030525C" w:rsidRPr="0030525C" w:rsidRDefault="0030525C" w:rsidP="0030525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Особливі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вимоги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 xml:space="preserve"> до предмета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.</w:t>
      </w:r>
    </w:p>
    <w:p w:rsidR="0030525C" w:rsidRPr="0030525C" w:rsidRDefault="0030525C" w:rsidP="0030525C">
      <w:p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4.1. До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ціни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тендерної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учасник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зобов’язаний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включити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послуги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із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замовлення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(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бронювання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)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потужності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щодо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кожного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періоду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обсягу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постачання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газу за договорами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постачання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природного газу.</w:t>
      </w:r>
    </w:p>
    <w:p w:rsidR="0030525C" w:rsidRPr="0030525C" w:rsidRDefault="0030525C" w:rsidP="0030525C">
      <w:p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Ціна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gram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на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предмет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даної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обов'язково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повинна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включати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до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вартості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ціни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тендерної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пропозиції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вартість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послуг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пов’язаних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 з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транспортуванням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 газу</w:t>
      </w: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до точки входу в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газорозподільну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систему, до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якої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підключено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об’єкти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Замовника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витрати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на оплату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послуги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замовленої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потужності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здійснюється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постачальником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газу на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підставі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Договору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транспортування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природного газу з Оператором ГТС,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відповідно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до норм Кодексу ГТС за тарифами,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визначені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НКРЕКП.</w:t>
      </w:r>
    </w:p>
    <w:p w:rsidR="0030525C" w:rsidRPr="0030525C" w:rsidRDefault="0030525C" w:rsidP="0030525C">
      <w:pPr>
        <w:tabs>
          <w:tab w:val="left" w:pos="284"/>
          <w:tab w:val="left" w:pos="993"/>
          <w:tab w:val="left" w:pos="1560"/>
        </w:tabs>
        <w:suppressAutoHyphens/>
        <w:spacing w:after="0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При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цьому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до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ціни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газу </w:t>
      </w:r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не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включається</w:t>
      </w:r>
      <w:proofErr w:type="spellEnd"/>
      <w:proofErr w:type="gram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вартість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послуг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 з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розподілу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 природного газу</w:t>
      </w: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є предметом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регулювання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окремого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договору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між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Замовником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та Оператором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газорозподільної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системи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.</w:t>
      </w:r>
    </w:p>
    <w:p w:rsidR="0030525C" w:rsidRPr="0030525C" w:rsidRDefault="0030525C" w:rsidP="00166CE0">
      <w:pPr>
        <w:tabs>
          <w:tab w:val="left" w:pos="284"/>
          <w:tab w:val="left" w:pos="993"/>
          <w:tab w:val="left" w:pos="1560"/>
        </w:tabs>
        <w:suppressAutoHyphens/>
        <w:spacing w:after="160" w:line="259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5.</w:t>
      </w: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 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Умови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постачання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.</w:t>
      </w:r>
    </w:p>
    <w:p w:rsidR="0030525C" w:rsidRPr="0030525C" w:rsidRDefault="0030525C" w:rsidP="0030525C">
      <w:pPr>
        <w:tabs>
          <w:tab w:val="left" w:pos="284"/>
          <w:tab w:val="left" w:pos="993"/>
          <w:tab w:val="left" w:pos="1560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highlight w:val="white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ab/>
        <w:t xml:space="preserve">5.1.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Постачальник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зобов’язаний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забезпечити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своєчасну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реєстрацію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споживача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в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Реє</w:t>
      </w:r>
      <w:proofErr w:type="gram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стр</w:t>
      </w:r>
      <w:proofErr w:type="gram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споживачів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постачальника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(на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інформаційній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платформі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Оператора ГТС) 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відповідному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розрахунковому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періоді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.</w:t>
      </w:r>
    </w:p>
    <w:p w:rsidR="0030525C" w:rsidRDefault="0030525C" w:rsidP="0030525C">
      <w:pPr>
        <w:tabs>
          <w:tab w:val="left" w:pos="284"/>
          <w:tab w:val="left" w:pos="993"/>
          <w:tab w:val="left" w:pos="1560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highlight w:val="white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ab/>
        <w:t xml:space="preserve">5.2.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Розподіл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природного газу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об'єктів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Замовника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(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Споживача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)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здійснюється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оператором ГРМ (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відповідно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до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Реєстру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суб’єктів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природних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монополій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які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провадять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господарську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діяльність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у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сфері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енергетики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 xml:space="preserve">). </w:t>
      </w:r>
      <w:proofErr w:type="gramEnd"/>
    </w:p>
    <w:p w:rsidR="000C104D" w:rsidRDefault="003B46CA" w:rsidP="0030525C">
      <w:pPr>
        <w:tabs>
          <w:tab w:val="left" w:pos="284"/>
          <w:tab w:val="left" w:pos="993"/>
          <w:tab w:val="left" w:pos="1560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r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5.3.</w:t>
      </w:r>
      <w:r w:rsidRPr="003B46CA"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Постачальник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зобов’язується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забезпечити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створення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страхового запасу природного газу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згідно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Постанови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Кабінету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Міні</w:t>
      </w:r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стр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ів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України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16 листопада 2016 р. № 860.</w:t>
      </w:r>
    </w:p>
    <w:p w:rsidR="003B46CA" w:rsidRDefault="003B46CA" w:rsidP="0030525C">
      <w:pPr>
        <w:tabs>
          <w:tab w:val="left" w:pos="284"/>
          <w:tab w:val="left" w:pos="993"/>
          <w:tab w:val="left" w:pos="1560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highlight w:val="white"/>
          <w:lang w:val="ru-RU"/>
        </w:rPr>
      </w:pPr>
      <w:bookmarkStart w:id="1" w:name="_GoBack"/>
      <w:bookmarkEnd w:id="1"/>
    </w:p>
    <w:p w:rsidR="000C104D" w:rsidRDefault="000C104D" w:rsidP="0030525C">
      <w:pPr>
        <w:tabs>
          <w:tab w:val="left" w:pos="284"/>
          <w:tab w:val="left" w:pos="993"/>
          <w:tab w:val="left" w:pos="1560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Учасник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у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складі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тендерної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надає</w:t>
      </w:r>
      <w:proofErr w:type="spellEnd"/>
      <w:r w:rsid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="003B46CA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0C104D">
        <w:rPr>
          <w:rFonts w:ascii="Times New Roman" w:eastAsia="Times New Roman" w:hAnsi="Times New Roman" w:cs="Times New Roman"/>
          <w:position w:val="-1"/>
          <w:lang w:val="ru-RU"/>
        </w:rPr>
        <w:t>овідку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щодо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застосування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Учасником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заходів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із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захисту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довкілля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при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виконанні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умов Договору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із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постачання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gram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природного</w:t>
      </w:r>
      <w:proofErr w:type="gram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газу. </w:t>
      </w:r>
      <w:proofErr w:type="spellStart"/>
      <w:proofErr w:type="gram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Окр</w:t>
      </w:r>
      <w:proofErr w:type="gram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цього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вказаною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довідкою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учасники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повинні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надати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опис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планованих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заходів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захисту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довкілля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навколишнього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середовища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довідку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екологічного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аудитора,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містить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опис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заходів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які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впроваджує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учасник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при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реалізації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програми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із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захисту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довкілля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навколишнього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середовища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також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свідоцтво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видане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Міністерством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захисту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довкілля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природних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ресурсів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України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інший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документ,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</w:t>
      </w:r>
      <w:proofErr w:type="gram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ідтверджує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отримання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працівником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учасника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знань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з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сучасних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вимог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системи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управління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екологічною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безпекою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об’єктах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паливно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–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енергетичного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комплексу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підприємстві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>.</w:t>
      </w:r>
    </w:p>
    <w:p w:rsidR="000C104D" w:rsidRPr="000C104D" w:rsidRDefault="000C104D" w:rsidP="000C104D">
      <w:pPr>
        <w:tabs>
          <w:tab w:val="left" w:pos="284"/>
          <w:tab w:val="left" w:pos="993"/>
          <w:tab w:val="left" w:pos="1560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lastRenderedPageBreak/>
        <w:t>Учасник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gram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</w:t>
      </w:r>
      <w:proofErr w:type="gram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склад</w:t>
      </w:r>
      <w:proofErr w:type="gram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надає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копію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чи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оригінал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сертифікату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системи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менеджменту/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управління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охорони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здоров’я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безпеки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праці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ДСТУ ISO 45001:2019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ISO 45001:2018 та ДСТУ ISO 14001:2015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ISO 14001:2015 «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Системи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екологічного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управління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.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Вимоги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настанови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щодо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застосовування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»,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чинні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подання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видані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учаснику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органом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сертифікації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включений до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реєстру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акредитованих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органів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оцінки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відповідності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Національного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агентства з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акредитації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України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. На </w:t>
      </w:r>
      <w:proofErr w:type="spellStart"/>
      <w:proofErr w:type="gram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</w:t>
      </w:r>
      <w:proofErr w:type="gram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ідтвердження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акредитації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установи, яка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видала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сертифікат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надати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відповідний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документ з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усіма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додатками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з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підтвердженням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сфери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акредитації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органу з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сертифікації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чинний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проведення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сертифікації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>.</w:t>
      </w:r>
    </w:p>
    <w:p w:rsidR="000C104D" w:rsidRDefault="000C104D" w:rsidP="000C104D">
      <w:pPr>
        <w:tabs>
          <w:tab w:val="left" w:pos="284"/>
          <w:tab w:val="left" w:pos="993"/>
          <w:tab w:val="left" w:pos="1560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Оригінал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чинного на дату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розкриття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тендерних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пропозицій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сертифікату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на систему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управління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якістю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виданого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учаснику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органом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сертифікації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(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органом з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оцінки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відповідності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), про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відповідність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системи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управління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безпекою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ланцюга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постачання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учасника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стосовно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оптової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торгі</w:t>
      </w:r>
      <w:proofErr w:type="gram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вл</w:t>
      </w:r>
      <w:proofErr w:type="gram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>і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твердим,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рідким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газоподібним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паливом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і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подібними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продуктами (код ДКПП 46.71) </w:t>
      </w:r>
      <w:proofErr w:type="spellStart"/>
      <w:r w:rsidRPr="000C104D">
        <w:rPr>
          <w:rFonts w:ascii="Times New Roman" w:eastAsia="Times New Roman" w:hAnsi="Times New Roman" w:cs="Times New Roman"/>
          <w:position w:val="-1"/>
          <w:lang w:val="ru-RU"/>
        </w:rPr>
        <w:t>вимогам</w:t>
      </w:r>
      <w:proofErr w:type="spellEnd"/>
      <w:r w:rsidRPr="000C104D">
        <w:rPr>
          <w:rFonts w:ascii="Times New Roman" w:eastAsia="Times New Roman" w:hAnsi="Times New Roman" w:cs="Times New Roman"/>
          <w:position w:val="-1"/>
          <w:lang w:val="ru-RU"/>
        </w:rPr>
        <w:t xml:space="preserve"> ДСТУ ISO 28000:2008 (ISO 28000:2007, IDT).</w:t>
      </w:r>
    </w:p>
    <w:p w:rsidR="003B46CA" w:rsidRDefault="003B46CA" w:rsidP="003B46CA">
      <w:pPr>
        <w:tabs>
          <w:tab w:val="left" w:pos="284"/>
          <w:tab w:val="left" w:pos="993"/>
          <w:tab w:val="left" w:pos="1560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ru-RU"/>
        </w:rPr>
      </w:pP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зобов’язані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ідтвердити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складі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своєї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тендерної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успішне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проходження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сертифікації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їхньої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діяльності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вимогам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ДСТУ ISO 9001:2015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ISO 9001:2015 «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Системи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управління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якістю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.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Вимоги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», виданого на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ім’я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учасника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закупі</w:t>
      </w:r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вл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є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чинним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його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подання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.</w:t>
      </w:r>
    </w:p>
    <w:p w:rsidR="003B46CA" w:rsidRDefault="003B46CA" w:rsidP="003B46CA">
      <w:pPr>
        <w:spacing w:line="240" w:lineRule="auto"/>
        <w:rPr>
          <w:rFonts w:ascii="Times New Roman" w:eastAsia="Times New Roman" w:hAnsi="Times New Roman" w:cs="Times New Roman"/>
          <w:position w:val="-1"/>
          <w:lang w:val="ru-RU"/>
        </w:rPr>
      </w:pP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Надати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копію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ліцензії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завірену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учасником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постачання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природного газу,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чинну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розкриття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дійсну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як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мінімум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до 31.12.2023 р. 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випадку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якщо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 не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має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паперовому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носії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діючої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ліцензії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, 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вказується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дата та номер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оприлюднення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ішення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видачу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ліцензії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офіційному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сайті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 НКРЕКП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подається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копія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Постанови НКРЕКП,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згідно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якої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визначене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ішення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видачу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відповідної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ліцензії</w:t>
      </w:r>
      <w:r>
        <w:rPr>
          <w:rFonts w:ascii="Times New Roman" w:eastAsia="Times New Roman" w:hAnsi="Times New Roman" w:cs="Times New Roman"/>
          <w:position w:val="-1"/>
          <w:lang w:val="ru-RU"/>
        </w:rPr>
        <w:t>.</w:t>
      </w:r>
      <w:proofErr w:type="spellEnd"/>
    </w:p>
    <w:p w:rsidR="003B46CA" w:rsidRDefault="003B46CA" w:rsidP="003B46CA">
      <w:pPr>
        <w:spacing w:line="240" w:lineRule="auto"/>
        <w:rPr>
          <w:rFonts w:ascii="Times New Roman" w:eastAsia="Times New Roman" w:hAnsi="Times New Roman" w:cs="Times New Roman"/>
          <w:position w:val="-1"/>
          <w:lang w:val="ru-RU"/>
        </w:rPr>
      </w:pPr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складі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надає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оригінал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копію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діючого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протягом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2023 року договору на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транспортування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природного газу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учасника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закупі</w:t>
      </w:r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вл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із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суб’єктом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природної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монополії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- ТОВ "Оператор ГТС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України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".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Згідно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Кодексу ГТС (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розділ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2глави VIII) до договору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транспортування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замовники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послуг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транспортування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повинні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надати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Оператору ГТС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фінансове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забезпечення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щодо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послугбалансування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системи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в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вигляді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: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безвідкличної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безумовної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банківської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гарантії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;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попередньої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оплати;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передачі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газу оператору ГТС,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який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є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власністю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замовника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послуги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балансування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, в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розмі</w:t>
      </w:r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фінансового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забезпечення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(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нотаріальні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договори).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Розмі</w:t>
      </w:r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</w:t>
      </w:r>
      <w:proofErr w:type="spellEnd"/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фінансового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забезпечення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має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бути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достатнім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і не повинен бути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менше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суми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вартості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газу в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обсязі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є абсолютною величиною (модулем)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від'ємного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значення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різниці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між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плановими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обсягами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подачі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природного газу та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плановими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обсягами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відбору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природного газу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згідно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з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номінаціями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або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реномінаціями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замовника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послуг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транспортування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природного газу. В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складі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тендерної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зобов’язані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ідтвердити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свою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відповідність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зазначеній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вище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вимозі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із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строком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чинності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документу,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є не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меншим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за строк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постачання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згідно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умов договору.</w:t>
      </w:r>
    </w:p>
    <w:p w:rsidR="003B46CA" w:rsidRPr="003B46CA" w:rsidRDefault="003B46CA" w:rsidP="003B46CA">
      <w:pPr>
        <w:spacing w:line="240" w:lineRule="auto"/>
        <w:rPr>
          <w:rFonts w:ascii="Times New Roman" w:eastAsia="Times New Roman" w:hAnsi="Times New Roman" w:cs="Times New Roman"/>
          <w:position w:val="-1"/>
          <w:lang w:val="ru-RU"/>
        </w:rPr>
      </w:pPr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складі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пропозиції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надає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оригінал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чи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копія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завірена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учасникомдіючого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протягом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2023 року договору з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акціонерним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товариством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“УКРТРАНСГАЗ” на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зберігання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(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закачування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зберігання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відбір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) природного газу та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оригінал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листа (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листів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),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виданий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раніше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квітня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2023 року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від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оператора ГТС з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інформацією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стосовно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наявності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прав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власності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обсягу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газу,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що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належить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учаснику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закупі</w:t>
      </w:r>
      <w:proofErr w:type="gram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вл</w:t>
      </w:r>
      <w:proofErr w:type="gram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>і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який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proofErr w:type="spellStart"/>
      <w:r w:rsidRPr="003B46CA">
        <w:rPr>
          <w:rFonts w:ascii="Times New Roman" w:eastAsia="Times New Roman" w:hAnsi="Times New Roman" w:cs="Times New Roman"/>
          <w:position w:val="-1"/>
          <w:lang w:val="ru-RU"/>
        </w:rPr>
        <w:t>облікований</w:t>
      </w:r>
      <w:proofErr w:type="spellEnd"/>
      <w:r w:rsidRPr="003B46CA">
        <w:rPr>
          <w:rFonts w:ascii="Times New Roman" w:eastAsia="Times New Roman" w:hAnsi="Times New Roman" w:cs="Times New Roman"/>
          <w:position w:val="-1"/>
          <w:lang w:val="ru-RU"/>
        </w:rPr>
        <w:t xml:space="preserve"> в ПСГ ПАТ «УКРТРАНСГАЗ».</w:t>
      </w:r>
    </w:p>
    <w:p w:rsidR="003B46CA" w:rsidRPr="0030525C" w:rsidRDefault="003B46CA" w:rsidP="000C104D">
      <w:pPr>
        <w:tabs>
          <w:tab w:val="left" w:pos="284"/>
          <w:tab w:val="left" w:pos="993"/>
          <w:tab w:val="left" w:pos="1560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highlight w:val="white"/>
          <w:lang w:val="ru-RU"/>
        </w:rPr>
      </w:pPr>
    </w:p>
    <w:sectPr w:rsidR="003B46CA" w:rsidRPr="00305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91D"/>
    <w:multiLevelType w:val="multilevel"/>
    <w:tmpl w:val="455C4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B37607"/>
    <w:multiLevelType w:val="hybridMultilevel"/>
    <w:tmpl w:val="31D6292E"/>
    <w:lvl w:ilvl="0" w:tplc="8094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C"/>
    <w:rsid w:val="000C104D"/>
    <w:rsid w:val="00166CE0"/>
    <w:rsid w:val="0030525C"/>
    <w:rsid w:val="003B46CA"/>
    <w:rsid w:val="004E526F"/>
    <w:rsid w:val="00AB332F"/>
    <w:rsid w:val="00C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6354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2023-06-06T13:43:00Z</dcterms:created>
  <dcterms:modified xsi:type="dcterms:W3CDTF">2023-06-07T08:53:00Z</dcterms:modified>
</cp:coreProperties>
</file>