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right"/>
        <w:rPr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  <w:lang w:val="uk-UA"/>
        </w:rPr>
        <w:t>Додаток 1 до протоколу №_</w:t>
      </w:r>
      <w:r>
        <w:rPr>
          <w:rFonts w:eastAsia="" w:cs="Times New Roman" w:ascii="Times New Roman" w:hAnsi="Times New Roman"/>
          <w:color w:val="000000"/>
          <w:kern w:val="0"/>
          <w:sz w:val="20"/>
          <w:szCs w:val="20"/>
          <w:shd w:fill="FFFFFF" w:val="clear"/>
          <w:lang w:val="uk-UA" w:eastAsia="ru-RU" w:bidi="ar-SA"/>
        </w:rPr>
        <w:t>79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  <w:lang w:val="uk-UA"/>
        </w:rPr>
        <w:t>від 05.06.2023</w:t>
      </w:r>
    </w:p>
    <w:p>
      <w:pPr>
        <w:pStyle w:val="Normal"/>
        <w:spacing w:lineRule="auto" w:line="240" w:before="0" w:after="0"/>
        <w:ind w:left="9498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0"/>
          <w:szCs w:val="20"/>
          <w:lang w:val="uk-UA"/>
        </w:rPr>
        <w:t>Перелік змін, що вносяться до тендерної документації на закупівлю товару «</w:t>
      </w:r>
      <w:r>
        <w:rPr>
          <w:rFonts w:cs="Times New Roman" w:ascii="Times New Roman" w:hAnsi="Times New Roman"/>
          <w:b/>
          <w:smallCaps/>
          <w:color w:val="000000"/>
          <w:sz w:val="26"/>
          <w:szCs w:val="26"/>
          <w:u w:val="single"/>
          <w:lang w:val="uk-UA" w:eastAsia="en-US"/>
        </w:rPr>
        <w:t xml:space="preserve"> код </w:t>
      </w:r>
      <w:r>
        <w:rPr>
          <w:rFonts w:cs="Times New Roman" w:ascii="Times New Roman" w:hAnsi="Times New Roman"/>
          <w:b/>
          <w:sz w:val="26"/>
          <w:szCs w:val="26"/>
          <w:u w:val="single"/>
          <w:lang w:val="uk-UA" w:eastAsia="en-US"/>
        </w:rPr>
        <w:t xml:space="preserve">ДК 021:2015 – </w:t>
      </w:r>
      <w:r>
        <w:rPr>
          <w:rFonts w:cs="Times New Roman" w:ascii="Times New Roman" w:hAnsi="Times New Roman"/>
          <w:b/>
          <w:sz w:val="26"/>
          <w:szCs w:val="26"/>
          <w:u w:val="single"/>
          <w:lang w:val="uk-UA"/>
        </w:rPr>
        <w:t>44810000-1 – «Фарби»</w:t>
      </w:r>
    </w:p>
    <w:tbl>
      <w:tblPr>
        <w:tblW w:w="14945" w:type="dxa"/>
        <w:jc w:val="left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1"/>
        <w:gridCol w:w="913"/>
        <w:gridCol w:w="13641"/>
      </w:tblGrid>
      <w:tr>
        <w:trPr>
          <w:trHeight w:val="275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Пункт ТД</w:t>
            </w:r>
          </w:p>
        </w:tc>
        <w:tc>
          <w:tcPr>
            <w:tcW w:w="1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ПОПЕРЕДНЯ РЕДАКЦІЯ</w:t>
            </w:r>
          </w:p>
        </w:tc>
      </w:tr>
      <w:tr>
        <w:trPr>
          <w:trHeight w:val="275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Додаток 2 до ТД</w:t>
            </w:r>
          </w:p>
        </w:tc>
        <w:tc>
          <w:tcPr>
            <w:tcW w:w="1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/>
            </w:pPr>
            <w:r>
              <w:rPr>
                <w:lang w:val="uk-UA"/>
              </w:rPr>
              <w:t>Додаток  2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cs="Times New Roman" w:ascii="Times New Roman" w:hAnsi="Times New Roman"/>
                <w:lang w:val="uk-UA"/>
              </w:rPr>
              <w:t>до тендерної документації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LONormal3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Технічне завдання</w:t>
            </w:r>
          </w:p>
          <w:p>
            <w:pPr>
              <w:pStyle w:val="LONormal3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на закупівлю товару </w:t>
            </w:r>
            <w:r>
              <w:rPr>
                <w:b/>
                <w:smallCaps/>
                <w:color w:val="000000"/>
                <w:sz w:val="26"/>
                <w:szCs w:val="26"/>
                <w:u w:val="single"/>
                <w:lang w:eastAsia="en-US"/>
              </w:rPr>
              <w:t xml:space="preserve">за кодом 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 xml:space="preserve">ДК 021:2015 – </w:t>
            </w:r>
            <w:r>
              <w:rPr>
                <w:b/>
                <w:sz w:val="26"/>
                <w:szCs w:val="26"/>
                <w:u w:val="single"/>
              </w:rPr>
              <w:t>44810000-1 – «Фарби»</w:t>
            </w:r>
          </w:p>
          <w:p>
            <w:pPr>
              <w:pStyle w:val="LONormal3"/>
              <w:widowControl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3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ТЕХНІЧНІ ХАРАКТЕРИСТИКИ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tbl>
            <w:tblPr>
              <w:tblW w:w="10861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firstRow="0" w:noVBand="0" w:lastRow="0" w:firstColumn="0" w:lastColumn="0" w:noHBand="0" w:val="0000"/>
            </w:tblPr>
            <w:tblGrid>
              <w:gridCol w:w="392"/>
              <w:gridCol w:w="1140"/>
              <w:gridCol w:w="5841"/>
              <w:gridCol w:w="1301"/>
              <w:gridCol w:w="2168"/>
              <w:gridCol w:w="19"/>
            </w:tblGrid>
            <w:tr>
              <w:trPr/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№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932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color w:val="auto"/>
                      <w:kern w:val="2"/>
                      <w:sz w:val="20"/>
                      <w:szCs w:val="20"/>
                      <w:lang w:val="uk-UA" w:eastAsia="zh-CN" w:bidi="hi-IN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color w:val="auto"/>
                      <w:kern w:val="2"/>
                      <w:sz w:val="20"/>
                      <w:szCs w:val="20"/>
                      <w:lang w:val="uk-UA" w:eastAsia="zh-CN" w:bidi="hi-IN"/>
                    </w:rPr>
                    <w:t>Характеристика</w:t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3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1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000000"/>
                  </w:tcBorders>
                  <w:shd w:color="auto" w:fill="auto" w:val="clear"/>
                  <w:tcMar>
                    <w:left w:w="0" w:type="dxa"/>
                  </w:tcMar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Водоемульсія для зовнішніх робіт 14 кг</w:t>
                  </w:r>
                </w:p>
              </w:tc>
              <w:tc>
                <w:tcPr>
                  <w:tcW w:w="9310" w:type="dxa"/>
                  <w:gridSpan w:val="3"/>
                  <w:tcBorders>
                    <w:right w:val="single" w:sz="4" w:space="0" w:color="00000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Style25"/>
                    <w:widowControl w:val="false"/>
                    <w:snapToGrid w:val="false"/>
                    <w:spacing w:before="150" w:after="15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  <w:lang w:val="uk-UA"/>
                    </w:rPr>
                    <w:t>Колір: білий Строк придатності: 24 місяців від дати виготовлення. Призначення: для фарбування всередині приміщень,зовні приміщень, будь-яких мінеральних (штукатурка, шпаклівка, цегла, бетон), гіпсових і дерев'яних поверхонь, шпалер на паперовій і скловолокнистої основі. Вміст ЛОС: ≤ 30 г/л. Фізико-хімічні показники: Колір і зовнішній вигляд покриття - Після висихання фарба повинна утворювати покриття з однорідною поверхнею. Колір повинен відповідати контрольному зразку В'язкість за ротаційним віскозиметром, мПа∙с (сР), шпіндель № 5, швидкість 5 - 5000-50000 рН - 8,5-11 Масова частка нелетких речовин, % - 50-60 Густина, г/см³, не менше - 1,45 Час висихання до ст. 3, год., не більше - 1 Розмір частинок (зернистість), мкм, не більше - 30 Ступінь блиску, кут 85°, од., не більше (ДСТУ EN 13300) - 10 (матова) Коефіцієнт контрастності, %, не менше (ДСТУ EN 13300) – 95 (3 клас)</w:t>
                  </w:r>
                </w:p>
              </w:tc>
              <w:tc>
                <w:tcPr>
                  <w:tcW w:w="19" w:type="dxa"/>
                  <w:tcBorders>
                    <w:top w:val="single" w:sz="6" w:space="0" w:color="000000"/>
                    <w:lef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Фарба біла гумова </w:t>
                  </w:r>
                  <w:r>
                    <w:rPr>
                      <w:rFonts w:eastAsia="" w:cs="Times New Roman" w:ascii="Times New Roman" w:hAnsi="Times New Roman" w:eastAsiaTheme="minorEastAsia"/>
                      <w:b/>
                      <w:bCs/>
                      <w:color w:val="000000"/>
                      <w:kern w:val="0"/>
                      <w:sz w:val="20"/>
                      <w:szCs w:val="20"/>
                      <w:shd w:fill="auto" w:val="clear"/>
                      <w:lang w:val="uk-UA" w:eastAsia="ru-RU" w:bidi="ar-SA"/>
                    </w:rPr>
                    <w:t>0,9 кг</w:t>
                  </w:r>
                </w:p>
              </w:tc>
              <w:tc>
                <w:tcPr>
                  <w:tcW w:w="9329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auto" w:val="clear"/>
                  <w:tcMar>
                    <w:right w:w="0" w:type="dxa"/>
                  </w:tcMar>
                </w:tcPr>
                <w:p>
                  <w:pPr>
                    <w:pStyle w:val="Style25"/>
                    <w:widowControl w:val="false"/>
                    <w:snapToGrid w:val="false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  <w:lang w:val="uk-UA"/>
                    </w:rPr>
                    <w:t>Колір білий. Призначена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т.д. Фарбу можна наносити на поверхні, які раніше були пофарбовані алкідними і масляними фарбами Для внутрішніх та зовнішніх робіт. Підходить для фарбування дахів, фасадів будівель, цоколів, металевих водостічних труб і жолобів, цегляних і кам'яних кладок, стовпів, огорож, житлових приміщень, коридорів, стін ванних кімнат, кухонь, приміщень загального харчування, ігрових та спортивних комплексів, торгових залів та ін.</w:t>
                  </w:r>
                </w:p>
                <w:p>
                  <w:pPr>
                    <w:pStyle w:val="Style19"/>
                    <w:widowControl w:val="false"/>
                    <w:spacing w:before="150" w:after="150"/>
                    <w:rPr>
                      <w:rFonts w:ascii="Times New Roman" w:hAnsi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  <w:lang w:val="uk-UA"/>
                    </w:rPr>
                    <w:t>Колір жовтий.Призначена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т.д. Фарбу можна наносити на поверхні, які раніше були пофарбовані алкідними і масляними фарбами Для внутрішніх та зовнішніх робіт. Підходить для фарбування дахів, фасадів будівель, цоколів, металевих водостічних труб і жолобів, цегляних і</w:t>
                  </w:r>
                </w:p>
                <w:p>
                  <w:pPr>
                    <w:pStyle w:val="Style19"/>
                    <w:widowControl w:val="false"/>
                    <w:ind w:left="0" w:right="0" w:hanging="0"/>
                    <w:rPr>
                      <w:rFonts w:ascii="Times New Roman" w:hAnsi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кам'яних кладок, стовпів, огорож, житлових приміщень, коридорів, стін ванних кімнат, кухонь, приміщень загального харчування, ігрових та спортивних комплексів, торгових залів та ін.</w:t>
                  </w:r>
                </w:p>
                <w:p>
                  <w:pPr>
                    <w:pStyle w:val="Style25"/>
                    <w:widowControl w:val="false"/>
                    <w:spacing w:before="150" w:after="150"/>
                    <w:rPr>
                      <w:rFonts w:cs="Times New Roman"/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cs="Times New Roman"/>
                      <w:b/>
                      <w:b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  <w:lang w:val="uk-UA"/>
                    </w:rPr>
                    <w:t>Фарба жовта гумова 0,9</w:t>
                  </w:r>
                </w:p>
              </w:tc>
              <w:tc>
                <w:tcPr>
                  <w:tcW w:w="9329" w:type="dxa"/>
                  <w:gridSpan w:val="4"/>
                  <w:vMerge w:val="continue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auto" w:val="clear"/>
                  <w:tcMar>
                    <w:right w:w="0" w:type="dxa"/>
                  </w:tcMar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cs="Times New Roman"/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</w:r>
                </w:p>
              </w:tc>
            </w:tr>
            <w:tr>
              <w:trPr>
                <w:trHeight w:val="2148" w:hRule="atLeast"/>
              </w:trPr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cs="Times New Roman"/>
                      <w:b/>
                      <w:b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  <w:lang w:val="uk-UA"/>
                    </w:rPr>
                    <w:t>Фарба червона гумова 0,9 кг</w:t>
                  </w:r>
                </w:p>
              </w:tc>
              <w:tc>
                <w:tcPr>
                  <w:tcW w:w="932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cs="Times New Roman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  <w:lang w:val="uk-UA"/>
                    </w:rPr>
                    <w:t>Колір червоний. Призначена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т.д. Фарбу можна наносити на поверхні, які раніше були пофарбовані алкідними і масляними фарбами Для внутрішніх та зовнішніх робіт. Підходить для фарбування дахів, фасадів будівель, цоколів, металевих водостічних труб і жолобів, цегляних і кам'яних кладок, стовпів, огорож, житлових приміщень, коридорів, стін ванних кімнат, кухонь, приміщень загального харчування, ігрових та спортивних комплексів, торгових залів та ін</w:t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4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Фарба зелена гумова 0,9 кг</w:t>
                  </w:r>
                </w:p>
              </w:tc>
              <w:tc>
                <w:tcPr>
                  <w:tcW w:w="9329" w:type="dxa"/>
                  <w:gridSpan w:val="4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Колір зелений. Призначена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т.д. Фарбу можна наносити на поверхні, які раніше були пофарбовані алкідними і масляними фарбами Для внутрішніх та зовнішніх робіт. Підходить для фарбування дахів, фасадів будівель, цоколів, металевих водостічних труб і жолобів, цегляних і кам'яних кладок, стовпів, огорож, житлових приміщень, коридорів, стін ванних кімнат, кухонь, приміщень загального харчування, ігрових та спортивних комплексів, торгових залів та ін.</w:t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4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Фарба синя гумова 0,9 кг</w:t>
                  </w:r>
                </w:p>
              </w:tc>
              <w:tc>
                <w:tcPr>
                  <w:tcW w:w="9329" w:type="dxa"/>
                  <w:gridSpan w:val="4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Колір синій. Призначена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т.д. Фарбу можна наносити на поверхні, які раніше були пофарбовані алкідними і масляними фарбами Для внутрішніх та зовнішніх робіт. Підходить для фарбування дахів, фасадів будівель, цоколів, металевих водостічних труб і жолобів, цегляних і кам'яних кладок, стовпів, огорож, житлових приміщень, коридорів, стін ванних кімнат, кухонь, приміщень загального харчування, ігрових та спортивних комплексів, торгових залів та ін.</w:t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4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Пігмент зелений</w:t>
                  </w:r>
                </w:p>
              </w:tc>
              <w:tc>
                <w:tcPr>
                  <w:tcW w:w="584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napToGrid w:val="false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  <w:tc>
                <w:tcPr>
                  <w:tcW w:w="2187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4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Пігмент фісташковий</w:t>
                  </w:r>
                </w:p>
              </w:tc>
              <w:tc>
                <w:tcPr>
                  <w:tcW w:w="584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napToGrid w:val="false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  <w:tc>
                <w:tcPr>
                  <w:tcW w:w="2187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Пігмент жовтий</w:t>
                  </w:r>
                </w:p>
              </w:tc>
              <w:tc>
                <w:tcPr>
                  <w:tcW w:w="584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napToGrid w:val="false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  <w:tc>
                <w:tcPr>
                  <w:tcW w:w="2187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Пігмент бежевий</w:t>
                  </w:r>
                </w:p>
              </w:tc>
              <w:tc>
                <w:tcPr>
                  <w:tcW w:w="584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napToGrid w:val="false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  <w:tc>
                <w:tcPr>
                  <w:tcW w:w="2187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4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20"/>
                      <w:szCs w:val="20"/>
                    </w:rPr>
                    <w:t>Пігмент синій</w:t>
                  </w:r>
                </w:p>
              </w:tc>
              <w:tc>
                <w:tcPr>
                  <w:tcW w:w="584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napToGrid w:val="false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  <w:tc>
                <w:tcPr>
                  <w:tcW w:w="2187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Style25"/>
                    <w:widowControl w:val="false"/>
                    <w:spacing w:before="150" w:after="1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widowControl w:val="false"/>
              <w:spacing w:before="0" w:after="200"/>
              <w:ind w:left="1069" w:right="-1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</w:tr>
      <w:tr>
        <w:trPr>
          <w:trHeight w:val="275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Пункт ТД</w:t>
            </w:r>
          </w:p>
        </w:tc>
        <w:tc>
          <w:tcPr>
            <w:tcW w:w="1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НОВА РЕДАКЦІЯ</w:t>
            </w:r>
          </w:p>
        </w:tc>
      </w:tr>
      <w:tr>
        <w:trPr>
          <w:trHeight w:val="275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Додаток 2 до ТД</w:t>
            </w:r>
          </w:p>
        </w:tc>
        <w:tc>
          <w:tcPr>
            <w:tcW w:w="1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 2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до тендерної документації</w:t>
            </w:r>
          </w:p>
          <w:p>
            <w:pPr>
              <w:pStyle w:val="LONormal3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Технічне завдання</w:t>
            </w:r>
          </w:p>
          <w:p>
            <w:pPr>
              <w:pStyle w:val="LONormal3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на закупівлю товару </w:t>
            </w:r>
            <w:r>
              <w:rPr>
                <w:b/>
                <w:smallCaps/>
                <w:color w:val="000000"/>
                <w:sz w:val="26"/>
                <w:szCs w:val="26"/>
                <w:u w:val="single"/>
                <w:lang w:eastAsia="en-US"/>
              </w:rPr>
              <w:t xml:space="preserve">за кодом 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 xml:space="preserve">ДК 021:2015 – </w:t>
            </w:r>
            <w:r>
              <w:rPr>
                <w:b/>
                <w:sz w:val="26"/>
                <w:szCs w:val="26"/>
                <w:u w:val="single"/>
              </w:rPr>
              <w:t>44810000-1 – «Фарби»</w:t>
            </w:r>
          </w:p>
          <w:p>
            <w:pPr>
              <w:pStyle w:val="LONormal3"/>
              <w:widowControl w:val="false"/>
              <w:ind w:hanging="0"/>
              <w:jc w:val="center"/>
              <w:rPr/>
            </w:pPr>
            <w:r>
              <w:rPr>
                <w:b/>
                <w:sz w:val="24"/>
                <w:szCs w:val="24"/>
              </w:rPr>
              <w:t>ТЕХНІЧНІ ХАРАКТЕРИСТИКИ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cs="Times New Roman" w:ascii="Times New Roman" w:hAnsi="Times New Roman"/>
                <w:sz w:val="4"/>
                <w:szCs w:val="4"/>
                <w:lang w:val="uk-UA"/>
              </w:rPr>
            </w:r>
            <w:bookmarkStart w:id="0" w:name="n69"/>
            <w:bookmarkStart w:id="1" w:name="n69"/>
            <w:bookmarkEnd w:id="1"/>
          </w:p>
          <w:tbl>
            <w:tblPr>
              <w:tblW w:w="10938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firstRow="1" w:noVBand="1" w:lastRow="0" w:firstColumn="1" w:lastColumn="0" w:noHBand="0" w:val="04a0"/>
            </w:tblPr>
            <w:tblGrid>
              <w:gridCol w:w="332"/>
              <w:gridCol w:w="1938"/>
              <w:gridCol w:w="8589"/>
              <w:gridCol w:w="78"/>
            </w:tblGrid>
            <w:tr>
              <w:trPr>
                <w:trHeight w:val="131" w:hRule="atLeast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1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На</w:t>
                  </w:r>
                  <w:r>
                    <w:rPr>
                      <w:rFonts w:eastAsia="SimSun" w:cs="Times New Roman" w:ascii="Times New Roman" w:hAnsi="Times New Roman"/>
                      <w:color w:val="000000"/>
                      <w:kern w:val="2"/>
                      <w:sz w:val="20"/>
                      <w:szCs w:val="20"/>
                      <w:shd w:fill="auto" w:val="clear"/>
                      <w:lang w:val="uk-UA" w:eastAsia="zh-CN" w:bidi="hi-IN"/>
                    </w:rPr>
                    <w:t>йменування</w:t>
                  </w:r>
                </w:p>
              </w:tc>
              <w:tc>
                <w:tcPr>
                  <w:tcW w:w="86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eastAsia="SimSun" w:cs="Times New Roman"/>
                      <w:color w:val="auto"/>
                      <w:kern w:val="2"/>
                      <w:sz w:val="20"/>
                      <w:szCs w:val="20"/>
                      <w:lang w:val="uk-UA" w:eastAsia="zh-CN" w:bidi="hi-IN"/>
                    </w:rPr>
                  </w:pPr>
                  <w:r>
                    <w:rPr>
                      <w:rFonts w:eastAsia="SimSun" w:cs="Times New Roman" w:ascii="Times New Roman" w:hAnsi="Times New Roman"/>
                      <w:color w:val="auto"/>
                      <w:kern w:val="2"/>
                      <w:sz w:val="20"/>
                      <w:szCs w:val="20"/>
                      <w:lang w:val="uk-UA" w:eastAsia="zh-CN" w:bidi="hi-IN"/>
                    </w:rPr>
                    <w:t>Характеристика</w:t>
                  </w:r>
                </w:p>
              </w:tc>
            </w:tr>
            <w:tr>
              <w:trPr>
                <w:trHeight w:val="116" w:hRule="atLeast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2</w:t>
                  </w:r>
                </w:p>
              </w:tc>
              <w:tc>
                <w:tcPr>
                  <w:tcW w:w="86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  <w:tr>
              <w:trPr>
                <w:trHeight w:val="116" w:hRule="atLeast"/>
              </w:trPr>
              <w:tc>
                <w:tcPr>
                  <w:tcW w:w="332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938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 w:eastAsia="uk-UA"/>
                    </w:rPr>
                    <w:t>Водоемульсія для зовнішніх робіт 14 кг</w:t>
                  </w:r>
                </w:p>
              </w:tc>
              <w:tc>
                <w:tcPr>
                  <w:tcW w:w="8667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>
                  <w:pPr>
                    <w:pStyle w:val="Normal"/>
                    <w:widowControl w:val="false"/>
                    <w:spacing w:before="0" w:after="200"/>
                    <w:jc w:val="both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shd w:fill="auto" w:val="clear"/>
                    </w:rPr>
                    <w:t xml:space="preserve">Колір: біли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>Строк придатності: 24 місяців від дати виготовлення.Призначення: для фарбування фасадів будівель з будь-яких мінеральних основ (штукатурка, шпаклівка, цегла, бетон, шлакоблок), а також гіпсових і дерев'яних основ.Вміст ЛОС: ≤ 40 г/л.Фізико-хімічні показники:Колір і зовнішній вигляд покриття - Після висихання фарба повинна утворити покриття з однорідною поверхнею. Колір повинен відповідати контрольному зразкуВ'язкість за ротаційним віскозиметром, мПа∙с (сР), шпіндель № 5, швидкість 5 - 15000-50000рН — 8-10 Масова частка нелетких речовин, % - 55-65 Густина,г/см³,не менше — 1,5 Час висихання до ст. 3 ,год, не бiльше — 1 Стійкість до мокрого стирання після 200 циклів, мкм, не більше — 10 Ступінь блиску,кут 85º,од.,не більше (ДСТУ EN 1062-1) — 5 (клас G₃, матовий) Розмір частинок (зернистість), мкм, не більше (ДСТУ EN 1062-1) – 30 (клас S₁, дрібнозернисті) Коефіцієнт контрастності, %, не менше — 98 Товщина сухої плівки, мкм (ДСТУ EN 1062-1) — 50-100 (клас Е₂) Паропроникність, г/ (м²*1 доб), не менше (ДСТУ EN 1062-1) – 150 (клас V₁, високий) Водопроникність, кг/ (м²*1 г⁰´⁵), не більше (ДСТУ EN 1062-1) – 1 (клас W₁, високий) Маркування за ДСТУ EN 1062-1 - G₃E₂S₁V₁W₁A₀C₀</w:t>
                  </w:r>
                </w:p>
              </w:tc>
            </w:tr>
            <w:tr>
              <w:trPr>
                <w:trHeight w:val="116" w:hRule="atLeast"/>
              </w:trPr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bottom w:w="0" w:type="dxa"/>
                  </w:tcMar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bottom w:w="0" w:type="dxa"/>
                  </w:tcMar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Фарба біла гумова 1,2 кг</w:t>
                  </w:r>
                </w:p>
              </w:tc>
              <w:tc>
                <w:tcPr>
                  <w:tcW w:w="858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bottom w:w="0" w:type="dxa"/>
                  </w:tcMar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shd w:fill="auto" w:val="clear"/>
                    </w:rPr>
                    <w:t>Колір білий.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>Призначення: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 д. Зовнішній вид висохлої плівки- рівна однорідна, матова поверхня. Вміст ЛОС: ≤ 130 г/л.Строк придатності: 24 місяців від дати виготовлення.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shd w:fill="auto" w:val="clear"/>
                    </w:rPr>
                    <w:t>Фізико-хімічні показники: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>Колір і зовнішній вигляд покриття - Колір покриття згідно затверджених стандартів В'язкість за віскозиметром Брукфільда RVDV-II + P, мПа ∙ с (сР), шпиндель № 5, швидкість 5 — 10000-30000 рН — 8,0-10,0 Масова частка нелетких речовин, %, не менше — 50 Густина , г/см³, не менше — 1,25 Час висихання до ст. 3, год, не більше — 1 Стійкість плівки до дії води, ступінь, не більше — 0 Твердість покриття (маятник Кеніга), с, не менше — 25 Стійкість до мокрого стирання, мкм, не більше — 5 Покривність сухої плівки, г/м², не більше - Помаранчева &lt;200 Жовта &lt;170 Червона &lt;120 Зелена &lt;120 Решта &lt;80  - Адгезія,в балах,не більше:- -чорний метал - 1- -дерев'яна поверхня - 1- -мінеральна поверхня — 1 Ступінь блиску, кут 85 °, од.,не більше (ДСТУ EN 1062-1) — 10 (клас G₃, матовий) Товщина сухої плівки, мкм (ДСТУ EN 1062-1) — 100-200 (клас E₃) Розмір частинок (зернистість), мкм, не більше (ДСТУ EN 1062-1) — 30 (клас S₁, дрібнозернистий) Паропроникність, г / (м² * 1 добу), не менше (ДСТУ EN 1062-1) - 30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jc w:val="both"/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 xml:space="preserve">(клас V₂, середній) - Водопроникність, кг / (м² * год⁰̕ ⁵ — 0,1 - ), не більше (ДСТУ EN 1062-1) - (клас W₃, низький)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Маркування згідно з ДСТУ EN 1062-1 - G₃E₃S₁V₂W₃A₀C₀</w:t>
                  </w:r>
                </w:p>
              </w:tc>
              <w:tc>
                <w:tcPr>
                  <w:tcW w:w="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bottom w:w="0" w:type="dxa"/>
                  </w:tcMar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  <w:tr>
              <w:trPr>
                <w:trHeight w:val="131" w:hRule="atLeast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Фарба жовта гумова 1,2 кг</w:t>
                  </w:r>
                </w:p>
              </w:tc>
              <w:tc>
                <w:tcPr>
                  <w:tcW w:w="8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>Колір жовтий.Призначення: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т.д.Зовнішній вид висохлої плівки- рівна однорідна, матова поверхня.Вміст ЛОС: ≤ 130 г/л.Строк придатності: 24 місяців від дати виготовлення.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shd w:fill="auto" w:val="clear"/>
                    </w:rPr>
                    <w:t>Фізико-хімічні показники: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 xml:space="preserve">Колір і зовнішній вигляд покриття - Колір покриття згідно затверджених стандартів В'язкість за віскозиметром Брукфільда RVDV-II + P, мПа ∙ с (сР), шпиндель № 5, швидкість 5 — 10000-30000 рН — 8,0-10,0 Масова частка нелетких речовин, %, не менше — 50 Густина , г/см³, не менше — 1,22 Час висихання до ст. 3, год, не більше — 1 Стійкість плівки до дії води, ступінь, не більше — 0 Твердість покриття (маятник Кеніга), с, не менше — 25 Стійкість до мокрого стирання, мкм, не більше — 5 Покривність сухої плівки, г/м², не більше - Помаранчева &lt;200 Жовта &lt;170 Червона &lt;120 Зелена &lt;120 Решта &lt;80  - Адгезія,в балах,не більше: - -чорний метал — 1 - -дерев'яна поверхня - 1- -мінеральна поверхня — 1 Ступінь блиску, кут 85 °, од.,не більше (ДСТУ EN 1062-1) — 10 (клас G₃, матовий) Товщина сухої плівки, мкм (ДСТУ EN 1062-1) — 100-200 (клас E₃)Розмір частинок (зернистість), мкм, не більше (ДСТУ EN 1062-1) — 30 (клас S₁, дрібнозернистий) Паропроникність, г / (м² * 1 добу), не менше (ДСТУ EN 1062-1) — 30 (клас V₂, середній)- Водопроникність, кг / (м² * год⁰̕ ⁵ — 0,1 - ), не більше (ДСТУ EN 1062-1) - (клас W₃, низький)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Маркування згідно з ДСТУ EN 1062-1 - G₃E₃S₁V₂W₃A₀C₀</w:t>
                  </w:r>
                </w:p>
              </w:tc>
              <w:tc>
                <w:tcPr>
                  <w:tcW w:w="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  <w:tr>
              <w:trPr>
                <w:trHeight w:val="131" w:hRule="atLeast"/>
              </w:trPr>
              <w:tc>
                <w:tcPr>
                  <w:tcW w:w="3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9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Фарба червона гумова 1,2 кг</w:t>
                  </w:r>
                </w:p>
              </w:tc>
              <w:tc>
                <w:tcPr>
                  <w:tcW w:w="858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shd w:fill="auto" w:val="clear"/>
                    </w:rPr>
                    <w:t>Колір червоний.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>Призначення: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 д. Зовнішній вид висохлої плівки- рівна однорідна, матова поверхня. Вміст ЛОС: ≤ 130 г/л. Строк придатності: 24 місяців від дати виготовлення.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shd w:fill="auto" w:val="clear"/>
                    </w:rPr>
                    <w:t xml:space="preserve">Фізико-хімічні показники: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>Колір і зовнішній вигляд покриття - Колір покриття згідно затверджених стандартів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 xml:space="preserve">В'язкість за віскозиметром Брукфільда RVDV-II + P, мПа ∙ с (сР), шпиндель № 5, швидкість 5 — 10000-30000 рН — 8,0-10,0 Масова частка нелетких речовин, %, не менше — 50 Густина , г/см³, не менше — 1,22 Час висихання до ст. 3, год, не більше — 1 Стійкість плівки до дії води, ступінь, не більше — 0 Твердість покриття (маятник Кеніга), с, не менше — 25 Стійкість до мокрого стирання, мкм, не більше — 5 Покривність сухої плівки, г/м², не більше - Помаранчева &lt;200 Жовта &lt;170 Червона &lt;120 Зелена &lt;120 Решта &lt;80 - Адгезія,в балах,не більше:- -чорний метал -  - -дерев'яна поверхня - 1 - -мінеральна поверхня - 1Ступінь блиску, кут 85 °, од.,не більше (ДСТУ EN 1062-1) - 10(клас G₃, матовий) Товщина сухої плівки, мкм (ДСТУ EN 1062-1) — 100-200 (клас E₃) Розмір частинок (зернистість), мкм, не більше (ДСТУ EN 1062-1) — 30 (клас S₁, дрібнозернистий) Паропроникність, г / (м² * 1 добу), не менше (ДСТУ EN 1062-1) — 30 (клас V₂, середній)- Водопроникність, кг / (м² * год⁰̕ ⁵ — 0,1  - ), не більше (ДСТУ EN 1062-1) - (клас W₃, низький)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Маркування згідно з ДСТУ EN 1062-1 - G₃E₃S₁V₂W₃A₀C₀</w:t>
                  </w:r>
                </w:p>
              </w:tc>
              <w:tc>
                <w:tcPr>
                  <w:tcW w:w="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  <w:tr>
              <w:trPr>
                <w:trHeight w:val="131" w:hRule="atLeast"/>
              </w:trPr>
              <w:tc>
                <w:tcPr>
                  <w:tcW w:w="3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19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Фарба зелена гумова 1,2 кг</w:t>
                  </w:r>
                </w:p>
              </w:tc>
              <w:tc>
                <w:tcPr>
                  <w:tcW w:w="858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>Колір зелений.Призначення: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 д. Зовнішній вид висохлої плівки- рівна однорідна, матова поверхня. Вміст ЛОС: ≤ 130 г/л. Строк придатності: 24 місяців від дати виготовлення.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shd w:fill="auto" w:val="clear"/>
                    </w:rPr>
                    <w:t xml:space="preserve">Фізико-хімічні показники: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 xml:space="preserve">Колір і зовнішній вигляд покриття – колір покриття згідно затвержениїх стандартів В'язкість за віскозиметром Брукфільда RVDV-II + P, мПа ∙ с (сР), шпиндель № 5, швидкість 5 — 10000-30000 рН — 8,0-10,0 Масова частка нелетких речовин, %, не менше — 50 Густина , г/см³, не менше — 1,22 Час висихання до ст. 3, год, не більше — 1 Стійкість плівки до дії води, ступінь, не більше — 0  Твердість покриття (маятник Кеніга), с, не менше – 25 Покривність сухої плівки, г/м², не більше — 80 Стійкість до мокрого стирання, мкм, не більше - 5- Адгезія,в балах,не більше:- -чорний метал - 1- -дерев'яна поверхня - 1- -мінеральна поверхня — 1 Ступінь блиску, кут 85 °, од.,не більше (ДСТУ EN 1062-1) – 10 (клас G₃, матовий) Товщина сухої плівки, мкм (ДСТУ EN 1062-1) - 100-200  (клас E₃) Розмір частинок (зернистість), мкм, не більше (ДСТУ EN 1062-1) – 30 (клас S₁, дрібнозернистий) Паропроникність, г / (м² * 1 добу), не менше (ДСТУ EN 1062-1) – 30 (клас V₂, середній) Водопроникність, кг / (м² * год⁰̕ ⁵), не більше (ДСТУ EN 1062-1) - 0,1 (клас W₃, низький)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Маркування згідно з ДСТУ EN 1062-1 - G₃E₃S₁V₂W₃A₀C₀</w:t>
                  </w:r>
                </w:p>
              </w:tc>
              <w:tc>
                <w:tcPr>
                  <w:tcW w:w="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  <w:tr>
              <w:trPr>
                <w:trHeight w:val="131" w:hRule="atLeast"/>
              </w:trPr>
              <w:tc>
                <w:tcPr>
                  <w:tcW w:w="3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19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 xml:space="preserve">Фарба </w:t>
                  </w:r>
                  <w:r>
                    <w:rPr>
                      <w:rFonts w:eastAsia="" w:cs="Times New Roman" w:ascii="Times New Roman" w:hAnsi="Times New Roman" w:eastAsiaTheme="minorEastAsia"/>
                      <w:b/>
                      <w:bCs/>
                      <w:color w:val="000000"/>
                      <w:kern w:val="0"/>
                      <w:sz w:val="20"/>
                      <w:szCs w:val="20"/>
                      <w:shd w:fill="auto" w:val="clear"/>
                      <w:lang w:val="uk-UA" w:eastAsia="ru-RU" w:bidi="ar-SA"/>
                    </w:rPr>
                    <w:t xml:space="preserve">яскраво-блакитна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гумова 1,2 кг</w:t>
                  </w:r>
                </w:p>
              </w:tc>
              <w:tc>
                <w:tcPr>
                  <w:tcW w:w="858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>Колір синій. Призначення: для захисного та декоративного фарбування шиферу, черепиці, ондуліну, оцинкованої сталі, алюмінію, заґрунтованого чорного металу, профнастилу, асфальту, азбоцементу, бетонних, піно- і газобетонних, цегляних, оштукатурених, зашпакльованих поверхонь, фанери, ДСП, ЦСП, ДВП, дерев'яних, гіпсокартонних поверхонь і т. д. Зовнішній вид висохлої плівки- рівна однорідна, матова поверхня. Вміст ЛОС: ≤ 130 г/л. Строк придатності: 24 місяців від дати виготовлення.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shd w:fill="auto" w:val="clear"/>
                    </w:rPr>
                    <w:t>Фізико-хімічні показники: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 xml:space="preserve">Колір і зовнішній вигляд покриття – колір покриття згідно затвержениїх стандартів В'язкість за віскозиметром Брукфільда RVDV-II + P, мПа ∙ с (сР), шпиндель № 5, швидкість 5 — 10000-30000 рН — 8,0-10,0 Масова частка нелетких речовин, %, не менше — 50 Густина , г/см³, не менше — 1,22 Час висихання до ст. 3, год, не більше — 1 Стійкість плівки до дії води, ступінь, не більше — 0 Твердість покриття (маятник Кеніга), с, не менше – 25 Покривність сухої плівки, г/м², не більше — 80 Стійкість до мокрого стирання, мкм, не більше - 5- Адгезія,в балах,не більше:- -чорний метал - 1- -дерев'яна поверхня - 1- -мінеральна поверхня — 1 Ступінь блиску, кут 85 °, од.,не більше (ДСТУ EN 1062-1) – 10 (клас G₃, матовий) Товщина сухої плівки, мкм (ДСТУ EN 1062-1) - 100-200  (клас E₃)Розмір частинок (зернистість), мкм, не більше (ДСТУ EN 1062-1) – 30 (клас S₁, дрібнозернистий)Паропроникність, г / (м² * 1 добу), не менше (ДСТУ EN 1062-1) – 30 (клас V₂, середній) Водопроникність, кг / (м² * год⁰̕ ⁵), не більше (ДСТУ EN 1062-1) - 0,1 (клас W₃, низький)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Маркування згідно з ДСТУ EN 1062-1 - G₃E₃S₁V₂W₃A₀C₀</w:t>
                  </w:r>
                </w:p>
              </w:tc>
              <w:tc>
                <w:tcPr>
                  <w:tcW w:w="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  <w:tr>
              <w:trPr>
                <w:trHeight w:val="131" w:hRule="atLeast"/>
              </w:trPr>
              <w:tc>
                <w:tcPr>
                  <w:tcW w:w="3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9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Пігмент зелений</w:t>
                  </w:r>
                </w:p>
              </w:tc>
              <w:tc>
                <w:tcPr>
                  <w:tcW w:w="8589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20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shd w:fill="auto" w:val="clear"/>
                    </w:rPr>
                    <w:t xml:space="preserve">Призначення: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shd w:fill="auto" w:val="clear"/>
                    </w:rPr>
                    <w:t xml:space="preserve">для забарвлення більшості фарб, емалей, лаків, штукатурок, вапна та інших матеріалів на водній основі, які використовуються для обробки поверхонь всередині та зовні приміщень.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shd w:fill="auto" w:val="clear"/>
                    </w:rPr>
                    <w:t>Строк придатності: 36 місяців від дати виготовлення.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fill="auto" w:val="clear"/>
                    </w:rPr>
                    <w:t xml:space="preserve">Фізико-хімічні показники: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shd w:fill="auto" w:val="clear"/>
                    </w:rPr>
                    <w:t xml:space="preserve">Густина, г/см³ — 1,0-1,1 Масова частка нелетких речовин, %  - 3-25 рН — 7,5-10,0 В'язкість за ротаційним віскозиметром, мПа∙с (сР), шпіндель № 4, швидкість 5 — 3000-20000 </w:t>
                  </w:r>
                  <w:r>
                    <w:rPr>
                      <w:rFonts w:cs="Times New Roman" w:ascii="Times New Roman" w:hAnsi="Times New Roman"/>
                      <w:color w:val="000000"/>
                      <w:sz w:val="18"/>
                      <w:szCs w:val="18"/>
                      <w:shd w:fill="auto" w:val="clear"/>
                      <w:lang w:val="uk-UA"/>
                    </w:rPr>
                    <w:t>Колір і зовнішній вигляд пігментного концентрату - Однорідна в’язка рідина без сторонніх включень. Колір повинен відповідати контрольному зразку</w:t>
                  </w:r>
                </w:p>
              </w:tc>
              <w:tc>
                <w:tcPr>
                  <w:tcW w:w="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  <w:tr>
              <w:trPr>
                <w:trHeight w:val="131" w:hRule="atLeast"/>
              </w:trPr>
              <w:tc>
                <w:tcPr>
                  <w:tcW w:w="3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9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Пігмент фісташковий</w:t>
                  </w:r>
                </w:p>
              </w:tc>
              <w:tc>
                <w:tcPr>
                  <w:tcW w:w="8589" w:type="dxa"/>
                  <w:vMerge w:val="continue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</w:r>
                </w:p>
              </w:tc>
              <w:tc>
                <w:tcPr>
                  <w:tcW w:w="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  <w:tr>
              <w:trPr>
                <w:trHeight w:val="131" w:hRule="atLeast"/>
              </w:trPr>
              <w:tc>
                <w:tcPr>
                  <w:tcW w:w="3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9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Пігмент жовтий</w:t>
                  </w:r>
                </w:p>
              </w:tc>
              <w:tc>
                <w:tcPr>
                  <w:tcW w:w="8589" w:type="dxa"/>
                  <w:vMerge w:val="continue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fill="auto" w:val="clear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</w:r>
                </w:p>
              </w:tc>
              <w:tc>
                <w:tcPr>
                  <w:tcW w:w="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  <w:tr>
              <w:trPr>
                <w:trHeight w:val="131" w:hRule="atLeast"/>
              </w:trPr>
              <w:tc>
                <w:tcPr>
                  <w:tcW w:w="3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19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Пігмент бежевий</w:t>
                  </w:r>
                </w:p>
              </w:tc>
              <w:tc>
                <w:tcPr>
                  <w:tcW w:w="858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fill="auto" w:val="clear"/>
                    </w:rPr>
                    <w:t xml:space="preserve">Призначення: для забарвлення більшості фарб, емалей, лаків, штукатурок, вапна та інших матеріалів на водній основі, які використовуються для обробки поверхонь всередині та зовні приміщень.Строк придатності: 36 місяців від дати виготовлення. Фізико-хімічні показники: Густина, г/см³ — 1,1-1,3 Масова частка нелетких речовин, %  - 20-35 рН — 7,5-9,5 В'язкість за ротаційним віскозиметром, мПа∙с (сР), шпіндель № 4, швидкість 5 — 5000-25000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shd w:fill="auto" w:val="clear"/>
                      <w:lang w:val="uk-UA"/>
                    </w:rPr>
                    <w:t>Колір і зовнішній вигляд пігментного концентрату - Однорідна в’язка рідина без сторонніх включень. Колір повинен відповідати контрольному зразку</w:t>
                  </w:r>
                </w:p>
              </w:tc>
              <w:tc>
                <w:tcPr>
                  <w:tcW w:w="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  <w:tr>
              <w:trPr>
                <w:trHeight w:val="131" w:hRule="atLeast"/>
              </w:trPr>
              <w:tc>
                <w:tcPr>
                  <w:tcW w:w="33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9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jc w:val="both"/>
                    <w:rPr>
                      <w:rFonts w:ascii="Times New Roman" w:hAnsi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Пігмент </w:t>
                  </w:r>
                  <w:r>
                    <w:rPr>
                      <w:rFonts w:eastAsia="" w:cs="Times New Roman" w:ascii="Times New Roman" w:hAnsi="Times New Roman" w:eastAsiaTheme="minorEastAsia"/>
                      <w:b/>
                      <w:bCs/>
                      <w:sz w:val="20"/>
                      <w:szCs w:val="20"/>
                      <w:shd w:fill="auto" w:val="clear"/>
                      <w:lang w:val="uk-UA"/>
                    </w:rPr>
                    <w:t>сіро-блакитний</w:t>
                  </w:r>
                </w:p>
              </w:tc>
              <w:tc>
                <w:tcPr>
                  <w:tcW w:w="858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200"/>
                    <w:jc w:val="both"/>
                    <w:rPr>
                      <w:rFonts w:ascii="Times New Roman" w:hAnsi="Times New Roman"/>
                      <w:sz w:val="18"/>
                      <w:szCs w:val="18"/>
                      <w:shd w:fill="auto" w:val="clear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shd w:fill="auto" w:val="clear"/>
                    </w:rPr>
                    <w:t xml:space="preserve">Призначення: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shd w:fill="auto" w:val="clear"/>
                    </w:rPr>
                    <w:t xml:space="preserve">для забарвлення більшості фарб, емалей, лаків, штукатурок, вапна та інших матеріалів на водній основі, які використовуються для обробки поверхонь всередині та зовні приміщень.  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shd w:fill="auto" w:val="clear"/>
                    </w:rPr>
                    <w:t xml:space="preserve">Строк придатності: 36 місяців від дати виготовлення.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fill="auto" w:val="clear"/>
                    </w:rPr>
                    <w:t xml:space="preserve">Фізико-хімічні показники: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shd w:fill="auto" w:val="clear"/>
                    </w:rPr>
                    <w:t xml:space="preserve">Густина, г/см³ — 1,0-1,1 Масова частка нелетких речовин, %  - 3-25 рН — 7,5-10,0 В'язкість за ротаційним віскозиметром, мПа∙с (сР), шпіндель № 4, швидкість 5 — 3000-20000 </w:t>
                  </w:r>
                  <w:r>
                    <w:rPr>
                      <w:rFonts w:cs="Times New Roman" w:ascii="Times New Roman" w:hAnsi="Times New Roman"/>
                      <w:color w:val="000000"/>
                      <w:sz w:val="18"/>
                      <w:szCs w:val="18"/>
                      <w:shd w:fill="auto" w:val="clear"/>
                      <w:lang w:val="uk-UA"/>
                    </w:rPr>
                    <w:t>Колір і зовнішній вигляд пігментного концентрату - Однорідна в’язка рідина без сторонніх включень. Колір повинен відповідати контрольному зразку</w:t>
                  </w:r>
                </w:p>
              </w:tc>
              <w:tc>
                <w:tcPr>
                  <w:tcW w:w="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Style25"/>
                    <w:widowControl w:val="false"/>
                    <w:spacing w:before="150" w:after="1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uk-UA"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/>
      </w:r>
    </w:p>
    <w:sectPr>
      <w:type w:val="nextPage"/>
      <w:pgSz w:orient="landscape" w:w="16838" w:h="11906"/>
      <w:pgMar w:left="1134" w:right="1134" w:header="0" w:top="568" w:footer="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11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ій колонтитул Знак"/>
    <w:basedOn w:val="DefaultParagraphFont"/>
    <w:qFormat/>
    <w:rsid w:val="008b3e8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2" w:customStyle="1">
    <w:name w:val="Основний текст з відступом 2 Знак"/>
    <w:link w:val="20"/>
    <w:qFormat/>
    <w:rsid w:val="008b3e81"/>
    <w:rPr>
      <w:rFonts w:ascii="Calibri" w:hAnsi="Calibri" w:cs="Calibri"/>
    </w:rPr>
  </w:style>
  <w:style w:type="character" w:styleId="21" w:customStyle="1">
    <w:name w:val="Основной текст с отступом 2 Знак1"/>
    <w:basedOn w:val="DefaultParagraphFont"/>
    <w:uiPriority w:val="99"/>
    <w:semiHidden/>
    <w:qFormat/>
    <w:rsid w:val="008b3e81"/>
    <w:rPr/>
  </w:style>
  <w:style w:type="character" w:styleId="Style15" w:customStyle="1">
    <w:name w:val="Звичайний (веб) Знак"/>
    <w:qFormat/>
    <w:locked/>
    <w:rsid w:val="00e73ee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ormal1" w:customStyle="1">
    <w:name w:val="Normal Знак"/>
    <w:link w:val="22"/>
    <w:qFormat/>
    <w:locked/>
    <w:rsid w:val="00205c68"/>
    <w:rPr>
      <w:rFonts w:ascii="Times New Roman" w:hAnsi="Times New Roman" w:eastAsia="Times New Roman" w:cs="Times New Roman"/>
      <w:szCs w:val="20"/>
      <w:lang w:val="uk-UA"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e4bf1"/>
    <w:rPr>
      <w:rFonts w:ascii="Tahoma" w:hAnsi="Tahoma" w:eastAsia="Times New Roman" w:cs="Tahoma"/>
      <w:sz w:val="16"/>
      <w:szCs w:val="16"/>
      <w:lang w:eastAsia="zh-C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8b3e81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2"/>
    <w:unhideWhenUsed/>
    <w:qFormat/>
    <w:rsid w:val="008b3e81"/>
    <w:pPr>
      <w:spacing w:lineRule="auto" w:line="480" w:before="0" w:after="120"/>
      <w:ind w:left="283" w:hanging="0"/>
    </w:pPr>
    <w:rPr>
      <w:rFonts w:ascii="Calibri" w:hAnsi="Calibri" w:cs="Calibri"/>
    </w:rPr>
  </w:style>
  <w:style w:type="paragraph" w:styleId="NormalWeb">
    <w:name w:val="Normal (Web)"/>
    <w:basedOn w:val="Normal"/>
    <w:qFormat/>
    <w:rsid w:val="00e73ee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4" w:customStyle="1">
    <w:name w:val="Основной текст с отступом 24"/>
    <w:basedOn w:val="Normal"/>
    <w:qFormat/>
    <w:rsid w:val="00112890"/>
    <w:pPr>
      <w:spacing w:lineRule="auto" w:line="480" w:before="0" w:after="120"/>
      <w:ind w:left="283" w:hanging="0"/>
    </w:pPr>
    <w:rPr>
      <w:rFonts w:ascii="Calibri" w:hAnsi="Calibri" w:eastAsia="Times New Roman" w:cs="Calibri"/>
      <w:lang w:eastAsia="zh-CN"/>
    </w:rPr>
  </w:style>
  <w:style w:type="paragraph" w:styleId="211" w:customStyle="1">
    <w:name w:val="Основной текст с отступом 21"/>
    <w:basedOn w:val="Normal"/>
    <w:qFormat/>
    <w:rsid w:val="00112890"/>
    <w:pPr>
      <w:spacing w:lineRule="auto" w:line="480" w:before="0" w:after="120"/>
      <w:ind w:left="283" w:hanging="0"/>
    </w:pPr>
    <w:rPr>
      <w:rFonts w:ascii="Calibri" w:hAnsi="Calibri" w:eastAsia="Times New Roman" w:cs="Times New Roman"/>
      <w:lang w:eastAsia="zh-CN"/>
    </w:rPr>
  </w:style>
  <w:style w:type="paragraph" w:styleId="22" w:customStyle="1">
    <w:name w:val="Обычный2"/>
    <w:link w:val="Normal"/>
    <w:qFormat/>
    <w:rsid w:val="00205c68"/>
    <w:pPr>
      <w:widowControl w:val="false"/>
      <w:suppressAutoHyphens w:val="true"/>
      <w:bidi w:val="0"/>
      <w:snapToGrid w:val="false"/>
      <w:spacing w:lineRule="auto" w:line="300" w:before="0" w:after="0"/>
      <w:ind w:firstLine="13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Rvps2" w:customStyle="1">
    <w:name w:val="rvps2"/>
    <w:basedOn w:val="Normal"/>
    <w:qFormat/>
    <w:rsid w:val="00b1343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775ad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paragraph" w:styleId="Standard" w:customStyle="1">
    <w:name w:val="Standard"/>
    <w:qFormat/>
    <w:rsid w:val="006b4ea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zh-CN" w:bidi="ar-SA"/>
    </w:rPr>
  </w:style>
  <w:style w:type="paragraph" w:styleId="LONormal3" w:customStyle="1">
    <w:name w:val="LO-Normal3"/>
    <w:qFormat/>
    <w:rsid w:val="006b4ead"/>
    <w:pPr>
      <w:widowControl w:val="false"/>
      <w:suppressAutoHyphens w:val="true"/>
      <w:bidi w:val="0"/>
      <w:snapToGrid w:val="false"/>
      <w:spacing w:lineRule="auto" w:line="300" w:before="0" w:after="0"/>
      <w:ind w:firstLine="13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25" w:customStyle="1">
    <w:name w:val="Содержимое таблицы"/>
    <w:basedOn w:val="Standard"/>
    <w:qFormat/>
    <w:rsid w:val="006f2152"/>
    <w:pPr>
      <w:widowControl w:val="false"/>
      <w:suppressLineNumbers/>
      <w:textAlignment w:val="baseline"/>
    </w:pPr>
    <w:rPr>
      <w:rFonts w:ascii="Liberation Serif" w:hAnsi="Liberation Serif" w:eastAsia="SimSun" w:cs="Mangal"/>
      <w:lang w:val="en-US" w:bidi="hi-IN"/>
    </w:rPr>
  </w:style>
  <w:style w:type="paragraph" w:styleId="Textbody" w:customStyle="1">
    <w:name w:val="Text body"/>
    <w:basedOn w:val="Standard"/>
    <w:qFormat/>
    <w:rsid w:val="006f2152"/>
    <w:pPr>
      <w:spacing w:lineRule="auto" w:line="288" w:before="0" w:after="140"/>
      <w:textAlignment w:val="baseline"/>
    </w:pPr>
    <w:rPr>
      <w:rFonts w:ascii="Liberation Serif" w:hAnsi="Liberation Serif" w:eastAsia="SimSun" w:cs="Mangal"/>
      <w:kern w:val="2"/>
      <w:lang w:val="en-US" w:bidi="hi-IN"/>
    </w:rPr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LibreOffice/7.0.3.1$Windows_X86_64 LibreOffice_project/d7547858d014d4cf69878db179d326fc3483e082</Application>
  <Pages>7</Pages>
  <Words>2574</Words>
  <Characters>14559</Characters>
  <CharactersWithSpaces>16952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2019-05-23T07:35:00Z</dcterms:created>
  <dc:creator>Admin</dc:creator>
  <dc:description/>
  <dc:language>ru-RU</dc:language>
  <cp:lastModifiedBy/>
  <dcterms:modified xsi:type="dcterms:W3CDTF">2023-06-05T15:01:16Z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