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b/>
        </w:rPr>
      </w:pPr>
    </w:p>
    <w:p>
      <w:pPr>
        <w:suppressAutoHyphens/>
        <w:spacing w:before="0" w:after="144" w:line="240" w:lineRule="auto"/>
        <w:ind w:left="-880" w:leftChars="-400" w:firstLine="567" w:firstLineChars="236"/>
        <w:jc w:val="center"/>
        <w:rPr>
          <w:b/>
          <w:bCs/>
          <w:i/>
          <w:iCs/>
          <w:u w:val="single"/>
        </w:rPr>
      </w:pPr>
      <w:r>
        <w:rPr>
          <w:rFonts w:ascii="Times New Roman" w:hAnsi="Times New Roman" w:cs="Times New Roman CYR"/>
          <w:b/>
          <w:bCs/>
          <w:i/>
          <w:iCs/>
          <w:sz w:val="24"/>
          <w:szCs w:val="24"/>
          <w:u w:val="single"/>
          <w:shd w:val="clear" w:fill="auto"/>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1.1. Довідка, складена у довільній формі, яка містить відомості про Учасника процедури закупівлі:</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 xml:space="preserve">- керівництво (посада, ім'я, по батькові,  телефон для контактів) - для юридичних осіб; </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 форма власності та юридичний статус, організаційно-правова форма (для юридичних осіб);</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 xml:space="preserve">1.2. </w:t>
      </w:r>
      <w:r>
        <w:rPr>
          <w:rFonts w:ascii="Times New Roman" w:hAnsi="Times New Roman"/>
          <w:b w:val="0"/>
          <w:bCs w:val="0"/>
          <w:color w:val="000000"/>
          <w:sz w:val="24"/>
          <w:szCs w:val="24"/>
          <w:shd w:val="clear" w:fill="auto"/>
        </w:rPr>
        <w:t>Чинний дозвіл та/або ліцензія та/або тимчасова декларація (на період дії воєнного стану в Україні відповідно ПКМУ від 18.03.2022 р. № 314)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та/або тимчасової декларації на провадження такого виду діяльності або виконання р</w:t>
      </w:r>
      <w:bookmarkStart w:id="0" w:name="_GoBack1"/>
      <w:bookmarkEnd w:id="0"/>
      <w:r>
        <w:rPr>
          <w:rFonts w:ascii="Times New Roman" w:hAnsi="Times New Roman"/>
          <w:b w:val="0"/>
          <w:bCs w:val="0"/>
          <w:color w:val="000000"/>
          <w:sz w:val="24"/>
          <w:szCs w:val="24"/>
          <w:shd w:val="clear" w:fill="auto"/>
        </w:rPr>
        <w:t>обіт/надання послуг передбачено законодавством;</w:t>
      </w:r>
    </w:p>
    <w:p>
      <w:pPr>
        <w:suppressAutoHyphens/>
        <w:spacing w:before="0" w:after="144" w:line="240" w:lineRule="auto"/>
        <w:ind w:left="-880" w:leftChars="-400" w:firstLine="566" w:firstLineChars="236"/>
        <w:jc w:val="both"/>
        <w:rPr>
          <w:b w:val="0"/>
          <w:bCs w:val="0"/>
        </w:rPr>
      </w:pPr>
      <w:r>
        <w:rPr>
          <w:rFonts w:ascii="Times New Roman" w:hAnsi="Times New Roman"/>
          <w:b w:val="0"/>
          <w:bCs w:val="0"/>
          <w:color w:val="000000"/>
          <w:sz w:val="24"/>
          <w:szCs w:val="24"/>
          <w:shd w:val="clear" w:fill="auto"/>
        </w:rPr>
        <w:t xml:space="preserve">1.3. </w:t>
      </w:r>
      <w:r>
        <w:rPr>
          <w:rFonts w:ascii="Times New Roman" w:hAnsi="Times New Roman"/>
          <w:b w:val="0"/>
          <w:bCs w:val="0"/>
          <w:iCs/>
          <w:color w:val="000000"/>
          <w:sz w:val="24"/>
          <w:szCs w:val="24"/>
          <w:shd w:val="clear" w:fill="auto"/>
        </w:rPr>
        <w:t>Учасник повинен п</w:t>
      </w:r>
      <w:r>
        <w:rPr>
          <w:rFonts w:ascii="Times New Roman" w:hAnsi="Times New Roman"/>
          <w:b w:val="0"/>
          <w:bCs w:val="0"/>
          <w:iCs/>
          <w:sz w:val="24"/>
          <w:szCs w:val="24"/>
          <w:shd w:val="clear" w:fill="auto"/>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suppressAutoHyphens/>
        <w:spacing w:before="0" w:after="144" w:line="240" w:lineRule="auto"/>
        <w:ind w:left="-880" w:leftChars="-400" w:firstLine="566" w:firstLineChars="236"/>
        <w:jc w:val="both"/>
        <w:rPr>
          <w:b w:val="0"/>
          <w:bCs w:val="0"/>
        </w:rPr>
      </w:pPr>
      <w:r>
        <w:rPr>
          <w:rFonts w:ascii="Times New Roman" w:hAnsi="Times New Roman"/>
          <w:b w:val="0"/>
          <w:bCs w:val="0"/>
          <w:sz w:val="24"/>
          <w:szCs w:val="24"/>
          <w:shd w:val="clear" w:fill="auto"/>
        </w:rPr>
        <w:t>1.</w:t>
      </w:r>
      <w:r>
        <w:rPr>
          <w:rFonts w:ascii="Times New Roman" w:hAnsi="Times New Roman"/>
          <w:b w:val="0"/>
          <w:bCs w:val="0"/>
          <w:sz w:val="24"/>
          <w:szCs w:val="24"/>
          <w:shd w:val="clear" w:fill="auto"/>
          <w:lang w:val="ru-RU"/>
        </w:rPr>
        <w:t>4</w:t>
      </w:r>
      <w:r>
        <w:rPr>
          <w:rFonts w:ascii="Times New Roman" w:hAnsi="Times New Roman"/>
          <w:b w:val="0"/>
          <w:bCs w:val="0"/>
          <w:sz w:val="24"/>
          <w:szCs w:val="24"/>
          <w:shd w:val="clear" w:fill="auto"/>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suppressAutoHyphens/>
        <w:spacing w:before="0" w:after="144" w:line="240" w:lineRule="auto"/>
        <w:ind w:left="-880" w:leftChars="-400" w:firstLine="566" w:firstLineChars="236"/>
        <w:jc w:val="both"/>
        <w:rPr>
          <w:b w:val="0"/>
          <w:bCs w:val="0"/>
        </w:rPr>
      </w:pPr>
      <w:r>
        <w:rPr>
          <w:rFonts w:ascii="Times New Roman" w:hAnsi="Times New Roman"/>
          <w:b w:val="0"/>
          <w:bCs w:val="0"/>
          <w:sz w:val="24"/>
          <w:szCs w:val="24"/>
          <w:shd w:val="clear" w:fill="auto"/>
        </w:rPr>
        <w:t>1.</w:t>
      </w:r>
      <w:r>
        <w:rPr>
          <w:rFonts w:ascii="Times New Roman" w:hAnsi="Times New Roman" w:cs="Times New Roman" w:eastAsiaTheme="minorHAnsi"/>
          <w:b w:val="0"/>
          <w:bCs w:val="0"/>
          <w:color w:val="000000"/>
          <w:kern w:val="0"/>
          <w:sz w:val="24"/>
          <w:szCs w:val="24"/>
          <w:shd w:val="clear" w:fill="auto"/>
          <w:lang w:val="ru-RU" w:eastAsia="en-US" w:bidi="ar-SA"/>
        </w:rPr>
        <w:t>5</w:t>
      </w:r>
      <w:r>
        <w:rPr>
          <w:rFonts w:ascii="Times New Roman" w:hAnsi="Times New Roman"/>
          <w:b w:val="0"/>
          <w:bCs w:val="0"/>
          <w:sz w:val="24"/>
          <w:szCs w:val="24"/>
          <w:shd w:val="clear" w:fill="auto"/>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suppressAutoHyphens/>
        <w:spacing w:before="0" w:after="144" w:line="240" w:lineRule="auto"/>
        <w:ind w:left="-880" w:leftChars="-400" w:firstLine="566" w:firstLineChars="236"/>
        <w:jc w:val="both"/>
        <w:rPr>
          <w:b w:val="0"/>
          <w:bCs w:val="0"/>
        </w:rPr>
      </w:pPr>
      <w:r>
        <w:rPr>
          <w:rFonts w:ascii="Times New Roman" w:hAnsi="Times New Roman"/>
          <w:b w:val="0"/>
          <w:bCs w:val="0"/>
          <w:sz w:val="24"/>
          <w:szCs w:val="24"/>
          <w:shd w:val="clear" w:fill="auto"/>
        </w:rPr>
        <w:t>1.</w:t>
      </w:r>
      <w:r>
        <w:rPr>
          <w:rFonts w:ascii="Times New Roman" w:hAnsi="Times New Roman" w:cs="Times New Roman" w:eastAsiaTheme="minorHAnsi"/>
          <w:b w:val="0"/>
          <w:bCs w:val="0"/>
          <w:color w:val="000000"/>
          <w:kern w:val="0"/>
          <w:sz w:val="24"/>
          <w:szCs w:val="24"/>
          <w:shd w:val="clear" w:fill="auto"/>
          <w:lang w:val="ru-RU" w:eastAsia="en-US" w:bidi="ar-SA"/>
        </w:rPr>
        <w:t>6</w:t>
      </w:r>
      <w:r>
        <w:rPr>
          <w:rFonts w:ascii="Times New Roman" w:hAnsi="Times New Roman"/>
          <w:b w:val="0"/>
          <w:bCs w:val="0"/>
          <w:sz w:val="24"/>
          <w:szCs w:val="24"/>
          <w:shd w:val="clear" w:fill="auto"/>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 xml:space="preserve">2. Учасник </w:t>
      </w:r>
      <w:r>
        <w:rPr>
          <w:rFonts w:ascii="Times New Roman" w:hAnsi="Times New Roman"/>
          <w:b w:val="0"/>
          <w:bCs w:val="0"/>
          <w:sz w:val="24"/>
          <w:szCs w:val="24"/>
          <w:shd w:val="clear" w:fill="auto"/>
        </w:rPr>
        <w:t>процедури закупівлі</w:t>
      </w:r>
      <w:r>
        <w:rPr>
          <w:rFonts w:ascii="Times New Roman" w:hAnsi="Times New Roman" w:cs="Times New Roman CYR"/>
          <w:b w:val="0"/>
          <w:bCs w:val="0"/>
          <w:sz w:val="24"/>
          <w:szCs w:val="24"/>
          <w:shd w:val="clear" w:fill="auto"/>
          <w:lang w:eastAsia="zh-CN"/>
        </w:rPr>
        <w:t xml:space="preserve"> повинен підтвердити можливість підписання ним або посадовою особою Учасника </w:t>
      </w:r>
      <w:r>
        <w:rPr>
          <w:rFonts w:ascii="Times New Roman" w:hAnsi="Times New Roman"/>
          <w:b w:val="0"/>
          <w:bCs w:val="0"/>
          <w:sz w:val="24"/>
          <w:szCs w:val="24"/>
          <w:shd w:val="clear" w:fill="auto"/>
        </w:rPr>
        <w:t>процедури закупівлі</w:t>
      </w:r>
      <w:r>
        <w:rPr>
          <w:rFonts w:ascii="Times New Roman" w:hAnsi="Times New Roman" w:cs="Times New Roman CYR"/>
          <w:b w:val="0"/>
          <w:bCs w:val="0"/>
          <w:sz w:val="24"/>
          <w:szCs w:val="24"/>
          <w:shd w:val="clear" w:fill="auto"/>
          <w:lang w:eastAsia="zh-CN"/>
        </w:rPr>
        <w:t xml:space="preserve"> документів тендерної пропозиції та договору про закупівлю.</w:t>
      </w:r>
    </w:p>
    <w:p>
      <w:pPr>
        <w:suppressAutoHyphens/>
        <w:spacing w:before="0" w:after="144" w:line="240" w:lineRule="auto"/>
        <w:ind w:left="-880" w:leftChars="-400" w:firstLine="566" w:firstLineChars="236"/>
        <w:jc w:val="both"/>
        <w:rPr>
          <w:b w:val="0"/>
          <w:bCs w:val="0"/>
        </w:rPr>
      </w:pPr>
      <w:r>
        <w:rPr>
          <w:rFonts w:ascii="Times New Roman" w:hAnsi="Times New Roman" w:cs="Times New Roman CYR"/>
          <w:b w:val="0"/>
          <w:bCs w:val="0"/>
          <w:sz w:val="24"/>
          <w:szCs w:val="24"/>
          <w:shd w:val="clear" w:fill="auto"/>
          <w:lang w:eastAsia="zh-CN"/>
        </w:rPr>
        <w:t xml:space="preserve">З цією метою Учасник </w:t>
      </w:r>
      <w:r>
        <w:rPr>
          <w:rFonts w:ascii="Times New Roman" w:hAnsi="Times New Roman"/>
          <w:b w:val="0"/>
          <w:bCs w:val="0"/>
          <w:sz w:val="24"/>
          <w:szCs w:val="24"/>
          <w:shd w:val="clear" w:fill="auto"/>
        </w:rPr>
        <w:t>процедури закупівлі</w:t>
      </w:r>
      <w:r>
        <w:rPr>
          <w:rFonts w:ascii="Times New Roman" w:hAnsi="Times New Roman" w:cs="Times New Roman CYR"/>
          <w:b w:val="0"/>
          <w:bCs w:val="0"/>
          <w:sz w:val="24"/>
          <w:szCs w:val="24"/>
          <w:shd w:val="clear" w:fill="auto"/>
          <w:lang w:eastAsia="zh-CN"/>
        </w:rPr>
        <w:t xml:space="preserve"> у складі пропозиції повинен надати:</w:t>
      </w:r>
    </w:p>
    <w:p>
      <w:pPr>
        <w:suppressAutoHyphens/>
        <w:spacing w:before="0" w:after="144" w:line="240" w:lineRule="auto"/>
        <w:ind w:left="-880" w:leftChars="-400" w:firstLine="566" w:firstLineChars="236"/>
        <w:jc w:val="both"/>
        <w:rPr>
          <w:b w:val="0"/>
          <w:bCs w:val="0"/>
        </w:rPr>
      </w:pPr>
      <w:r>
        <w:rPr>
          <w:rFonts w:ascii="Times New Roman" w:hAnsi="Times New Roman"/>
          <w:b w:val="0"/>
          <w:bCs w:val="0"/>
          <w:sz w:val="24"/>
          <w:szCs w:val="24"/>
          <w:shd w:val="clear" w:fill="auto"/>
        </w:rPr>
        <w:t xml:space="preserve">2.1. </w:t>
      </w:r>
      <w:r>
        <w:rPr>
          <w:rFonts w:ascii="Times New Roman" w:hAnsi="Times New Roman"/>
          <w:b w:val="0"/>
          <w:bCs w:val="0"/>
          <w:iCs/>
          <w:sz w:val="24"/>
          <w:szCs w:val="24"/>
          <w:shd w:val="clear" w:fill="auto"/>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suppressAutoHyphens/>
        <w:spacing w:before="0" w:after="144" w:line="240" w:lineRule="auto"/>
        <w:ind w:left="-880" w:leftChars="-400" w:firstLine="566" w:firstLineChars="236"/>
        <w:jc w:val="both"/>
        <w:rPr>
          <w:b w:val="0"/>
          <w:bCs w:val="0"/>
        </w:rPr>
      </w:pPr>
      <w:r>
        <w:rPr>
          <w:rFonts w:ascii="Times New Roman" w:hAnsi="Times New Roman"/>
          <w:b w:val="0"/>
          <w:bCs w:val="0"/>
          <w:sz w:val="24"/>
          <w:szCs w:val="24"/>
          <w:shd w:val="clear" w:fill="auto"/>
        </w:rPr>
        <w:t xml:space="preserve">2.2. Документи, що підтверджують </w:t>
      </w:r>
      <w:r>
        <w:rPr>
          <w:rFonts w:ascii="Times New Roman" w:hAnsi="Times New Roman"/>
          <w:b w:val="0"/>
          <w:bCs w:val="0"/>
          <w:iCs/>
          <w:sz w:val="24"/>
          <w:szCs w:val="24"/>
          <w:shd w:val="clear" w:fill="auto"/>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suppressAutoHyphens/>
        <w:spacing w:before="0" w:after="144" w:line="240" w:lineRule="auto"/>
        <w:ind w:left="-880" w:leftChars="-400" w:firstLine="566" w:firstLineChars="236"/>
        <w:jc w:val="both"/>
        <w:rPr>
          <w:b w:val="0"/>
          <w:bCs w:val="0"/>
        </w:rPr>
      </w:pPr>
      <w:r>
        <w:rPr>
          <w:rFonts w:ascii="Times New Roman" w:hAnsi="Times New Roman"/>
          <w:b w:val="0"/>
          <w:bCs w:val="0"/>
          <w:sz w:val="24"/>
          <w:szCs w:val="24"/>
          <w:shd w:val="clear" w:fill="auto"/>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suppressAutoHyphens/>
        <w:spacing w:before="0" w:after="144" w:line="240" w:lineRule="auto"/>
        <w:ind w:left="-880" w:leftChars="-400" w:firstLine="566" w:firstLineChars="236"/>
        <w:jc w:val="both"/>
        <w:rPr>
          <w:i w:val="0"/>
          <w:iCs w:val="0"/>
          <w:u w:val="none"/>
        </w:rPr>
      </w:pPr>
      <w:r>
        <w:rPr>
          <w:rFonts w:ascii="Times New Roman" w:hAnsi="Times New Roman" w:cs="Times New Roman CYR"/>
          <w:b w:val="0"/>
          <w:bCs w:val="0"/>
          <w:i w:val="0"/>
          <w:iCs w:val="0"/>
          <w:sz w:val="24"/>
          <w:szCs w:val="24"/>
          <w:u w:val="none"/>
          <w:shd w:val="clear" w:fill="auto"/>
          <w:lang w:eastAsia="zh-CN"/>
        </w:rPr>
        <w:t>2.4. Довідка про присвоєння ідентифікаційного коду, та копія паспорту  (для Учасника – фізична особа, фізична особа - підприємець).</w:t>
      </w:r>
    </w:p>
    <w:p>
      <w:pPr>
        <w:ind w:left="-880" w:leftChars="-400" w:firstLine="567" w:firstLineChars="236"/>
        <w:jc w:val="both"/>
        <w:rPr>
          <w:rFonts w:ascii="Times New Roman" w:hAnsi="Times New Roman"/>
          <w:b/>
          <w:i w:val="0"/>
          <w:iCs w:val="0"/>
          <w:sz w:val="24"/>
          <w:szCs w:val="24"/>
          <w:u w:val="none"/>
          <w:shd w:val="clear" w:fill="auto"/>
        </w:rPr>
      </w:pPr>
    </w:p>
    <w:p>
      <w:pPr>
        <w:jc w:val="both"/>
        <w:rPr>
          <w:rFonts w:ascii="Times New Roman" w:hAnsi="Times New Roman"/>
          <w:b/>
          <w:sz w:val="24"/>
          <w:szCs w:val="24"/>
          <w:shd w:val="clear" w:fill="81D41A"/>
        </w:rPr>
      </w:pPr>
    </w:p>
    <w:p>
      <w:pPr>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 xml:space="preserve">Підстави для відмови в участі у відкритих торгах, встановлені пунктом </w:t>
      </w:r>
      <w:r>
        <w:rPr>
          <w:rFonts w:ascii="Times New Roman" w:hAnsi="Times New Roman" w:eastAsia="Times New Roman" w:cs="Times New Roman"/>
          <w:b/>
          <w:color w:val="17365D"/>
          <w:sz w:val="24"/>
          <w:szCs w:val="24"/>
          <w:shd w:val="clear" w:fill="auto"/>
          <w:lang w:val="ru-RU"/>
        </w:rPr>
        <w:t>47</w:t>
      </w:r>
      <w:r>
        <w:rPr>
          <w:rFonts w:ascii="Times New Roman" w:hAnsi="Times New Roman" w:eastAsia="Times New Roman" w:cs="Times New Roman"/>
          <w:b/>
          <w:sz w:val="24"/>
          <w:szCs w:val="24"/>
          <w:shd w:val="clear" w:fill="auto"/>
        </w:rPr>
        <w:t xml:space="preserve"> цих особливостей та спосіб підтвердження їх відсутності</w:t>
      </w:r>
    </w:p>
    <w:tbl>
      <w:tblPr>
        <w:tblStyle w:val="3"/>
        <w:tblpPr w:leftFromText="180" w:rightFromText="180" w:vertAnchor="text" w:horzAnchor="page" w:tblpX="1170" w:tblpY="351"/>
        <w:tblOverlap w:val="never"/>
        <w:tblW w:w="9810" w:type="dxa"/>
        <w:tblInd w:w="0" w:type="dxa"/>
        <w:tblLayout w:type="fixed"/>
        <w:tblCellMar>
          <w:top w:w="0" w:type="dxa"/>
          <w:left w:w="108" w:type="dxa"/>
          <w:bottom w:w="0" w:type="dxa"/>
          <w:right w:w="108" w:type="dxa"/>
        </w:tblCellMar>
      </w:tblPr>
      <w:tblGrid>
        <w:gridCol w:w="9810"/>
      </w:tblGrid>
      <w:tr>
        <w:tblPrEx>
          <w:tblCellMar>
            <w:top w:w="0" w:type="dxa"/>
            <w:left w:w="108" w:type="dxa"/>
            <w:bottom w:w="0" w:type="dxa"/>
            <w:right w:w="108" w:type="dxa"/>
          </w:tblCellMar>
        </w:tblPrEx>
        <w:tc>
          <w:tcPr>
            <w:tcW w:w="9810" w:type="dxa"/>
            <w:tcBorders>
              <w:top w:val="single" w:color="000000" w:sz="4" w:space="0"/>
              <w:left w:val="single" w:color="000000" w:sz="4" w:space="0"/>
              <w:bottom w:val="single" w:color="000000" w:sz="4" w:space="0"/>
              <w:right w:val="single" w:color="000000" w:sz="4" w:space="0"/>
            </w:tcBorders>
          </w:tcPr>
          <w:p>
            <w:pPr>
              <w:widowControl w:val="0"/>
              <w:snapToGrid w:val="0"/>
              <w:spacing w:before="0" w:after="0" w:line="240" w:lineRule="auto"/>
              <w:ind w:firstLine="567"/>
              <w:jc w:val="both"/>
              <w:rPr>
                <w:rFonts w:ascii="Times New Roman" w:hAnsi="Times New Roman" w:eastAsia="Times New Roman" w:cs="Times New Roman"/>
                <w:bCs/>
                <w:sz w:val="24"/>
                <w:szCs w:val="24"/>
                <w:shd w:val="clear" w:fill="auto"/>
              </w:rPr>
            </w:pPr>
          </w:p>
          <w:p>
            <w:pPr>
              <w:widowControl w:val="0"/>
              <w:spacing w:before="0" w:after="0" w:line="240" w:lineRule="auto"/>
              <w:ind w:firstLine="567"/>
              <w:jc w:val="both"/>
              <w:rPr>
                <w:rFonts w:ascii="Times New Roman" w:hAnsi="Times New Roman"/>
                <w:sz w:val="24"/>
                <w:szCs w:val="24"/>
                <w:shd w:val="clear" w:fill="auto"/>
              </w:rPr>
            </w:pPr>
            <w:r>
              <w:rPr>
                <w:rFonts w:ascii="Times New Roman" w:hAnsi="Times New Roman" w:eastAsia="Times New Roman" w:cs="Times New Roman"/>
                <w:bCs/>
                <w:sz w:val="24"/>
                <w:szCs w:val="24"/>
                <w:shd w:val="clear" w:fill="auto"/>
              </w:rPr>
              <w:t xml:space="preserve">Учасник процедури закупівлі підтверджує відсутність підстав, зазначених в цьому пункті </w:t>
            </w:r>
            <w:r>
              <w:rPr>
                <w:rFonts w:ascii="Times New Roman" w:hAnsi="Times New Roman" w:eastAsia="Times New Roman" w:cs="Times New Roman"/>
                <w:bCs/>
                <w:i/>
                <w:color w:val="002060"/>
                <w:sz w:val="24"/>
                <w:szCs w:val="24"/>
                <w:shd w:val="clear" w:fill="auto"/>
              </w:rPr>
              <w:t xml:space="preserve">(п. </w:t>
            </w:r>
            <w:r>
              <w:rPr>
                <w:rFonts w:ascii="Times New Roman" w:hAnsi="Times New Roman" w:eastAsia="Times New Roman" w:cs="Times New Roman"/>
                <w:bCs/>
                <w:i/>
                <w:color w:val="17365D"/>
                <w:sz w:val="24"/>
                <w:szCs w:val="24"/>
                <w:shd w:val="clear" w:fill="auto"/>
              </w:rPr>
              <w:t>47</w:t>
            </w:r>
            <w:r>
              <w:rPr>
                <w:rFonts w:ascii="Times New Roman" w:hAnsi="Times New Roman" w:eastAsia="Times New Roman" w:cs="Times New Roman"/>
                <w:bCs/>
                <w:i/>
                <w:color w:val="002060"/>
                <w:sz w:val="24"/>
                <w:szCs w:val="24"/>
                <w:shd w:val="clear" w:fill="auto"/>
              </w:rPr>
              <w:t xml:space="preserve"> особливостей)</w:t>
            </w:r>
            <w:r>
              <w:rPr>
                <w:rFonts w:ascii="Times New Roman" w:hAnsi="Times New Roman" w:eastAsia="Times New Roman" w:cs="Times New Roman"/>
                <w:bCs/>
                <w:sz w:val="24"/>
                <w:szCs w:val="24"/>
                <w:shd w:val="clear" w:fill="auto"/>
              </w:rPr>
              <w:t xml:space="preserve"> (</w:t>
            </w:r>
            <w:r>
              <w:rPr>
                <w:rFonts w:ascii="Times New Roman" w:hAnsi="Times New Roman" w:eastAsia="Times New Roman" w:cs="Times New Roman"/>
                <w:bCs/>
                <w:color w:val="17365D"/>
                <w:sz w:val="24"/>
                <w:szCs w:val="24"/>
                <w:shd w:val="clear" w:fill="auto"/>
              </w:rPr>
              <w:t>крім підпунктів 1 і 7</w:t>
            </w:r>
            <w:r>
              <w:rPr>
                <w:rFonts w:ascii="Times New Roman" w:hAnsi="Times New Roman" w:eastAsia="Times New Roman" w:cs="Times New Roman"/>
                <w:bCs/>
                <w:sz w:val="24"/>
                <w:szCs w:val="24"/>
                <w:shd w:val="clear" w:fill="auto"/>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before="0" w:after="0" w:line="240" w:lineRule="auto"/>
              <w:ind w:firstLine="567"/>
              <w:jc w:val="both"/>
              <w:rPr>
                <w:rFonts w:ascii="Times New Roman" w:hAnsi="Times New Roman"/>
                <w:sz w:val="24"/>
                <w:szCs w:val="24"/>
                <w:shd w:val="clear" w:fill="auto"/>
              </w:rPr>
            </w:pPr>
            <w:r>
              <w:rPr>
                <w:rFonts w:ascii="Times New Roman" w:hAnsi="Times New Roman" w:eastAsia="Times New Roman" w:cs="Times New Roman"/>
                <w:bCs/>
                <w:sz w:val="24"/>
                <w:szCs w:val="24"/>
                <w:shd w:val="clear" w:fill="auto"/>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ascii="Times New Roman" w:hAnsi="Times New Roman" w:eastAsia="Times New Roman" w:cs="Times New Roman"/>
                <w:bCs/>
                <w:i/>
                <w:color w:val="002060"/>
                <w:sz w:val="24"/>
                <w:szCs w:val="24"/>
                <w:shd w:val="clear" w:fill="auto"/>
              </w:rPr>
              <w:t xml:space="preserve">(п. </w:t>
            </w:r>
            <w:r>
              <w:rPr>
                <w:rFonts w:ascii="Times New Roman" w:hAnsi="Times New Roman" w:eastAsia="Times New Roman" w:cs="Times New Roman"/>
                <w:bCs/>
                <w:i/>
                <w:color w:val="17365D"/>
                <w:sz w:val="24"/>
                <w:szCs w:val="24"/>
                <w:shd w:val="clear" w:fill="auto"/>
                <w:lang w:val="en-US"/>
              </w:rPr>
              <w:t>47</w:t>
            </w:r>
            <w:r>
              <w:rPr>
                <w:rFonts w:ascii="Times New Roman" w:hAnsi="Times New Roman" w:eastAsia="Times New Roman" w:cs="Times New Roman"/>
                <w:bCs/>
                <w:i/>
                <w:color w:val="002060"/>
                <w:sz w:val="24"/>
                <w:szCs w:val="24"/>
                <w:shd w:val="clear" w:fill="auto"/>
              </w:rPr>
              <w:t xml:space="preserve"> особливостей)</w:t>
            </w:r>
            <w:r>
              <w:rPr>
                <w:rFonts w:ascii="Times New Roman" w:hAnsi="Times New Roman" w:eastAsia="Times New Roman" w:cs="Times New Roman"/>
                <w:bCs/>
                <w:sz w:val="24"/>
                <w:szCs w:val="24"/>
                <w:shd w:val="clear" w:fill="auto"/>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before="0" w:after="0" w:line="240" w:lineRule="auto"/>
              <w:ind w:firstLine="567"/>
              <w:jc w:val="both"/>
              <w:rPr>
                <w:rFonts w:ascii="Times New Roman" w:hAnsi="Times New Roman" w:eastAsia="Times New Roman" w:cs="Times New Roman"/>
                <w:bCs/>
                <w:color w:val="17365D"/>
                <w:sz w:val="24"/>
                <w:szCs w:val="24"/>
                <w:shd w:val="clear" w:fill="auto"/>
              </w:rPr>
            </w:pPr>
            <w:r>
              <w:rPr>
                <w:rFonts w:ascii="Times New Roman" w:hAnsi="Times New Roman" w:eastAsia="Times New Roman" w:cs="Times New Roman"/>
                <w:bCs/>
                <w:color w:val="17365D"/>
                <w:sz w:val="24"/>
                <w:szCs w:val="24"/>
                <w:shd w:val="clear" w:fill="auto"/>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before="0" w:after="0" w:line="240" w:lineRule="auto"/>
              <w:ind w:firstLine="567"/>
              <w:jc w:val="both"/>
              <w:rPr>
                <w:rFonts w:ascii="Times New Roman" w:hAnsi="Times New Roman"/>
                <w:sz w:val="24"/>
                <w:szCs w:val="24"/>
                <w:shd w:val="clear" w:fill="auto"/>
              </w:rPr>
            </w:pPr>
            <w:r>
              <w:rPr>
                <w:rFonts w:ascii="Times New Roman" w:hAnsi="Times New Roman" w:eastAsia="Times New Roman" w:cs="Times New Roman"/>
                <w:bCs/>
                <w:sz w:val="24"/>
                <w:szCs w:val="24"/>
                <w:shd w:val="clear" w:fill="auto"/>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ascii="Times New Roman" w:hAnsi="Times New Roman" w:eastAsia="Times New Roman" w:cs="Times New Roman"/>
                <w:bCs/>
                <w:color w:val="17365D"/>
                <w:sz w:val="24"/>
                <w:szCs w:val="24"/>
                <w:shd w:val="clear" w:fill="auto"/>
              </w:rPr>
              <w:t>щодо відсутності</w:t>
            </w:r>
            <w:r>
              <w:rPr>
                <w:rFonts w:ascii="Times New Roman" w:hAnsi="Times New Roman" w:eastAsia="Times New Roman" w:cs="Times New Roman"/>
                <w:bCs/>
                <w:sz w:val="24"/>
                <w:szCs w:val="24"/>
                <w:shd w:val="clear" w:fill="auto"/>
              </w:rPr>
              <w:t xml:space="preserve"> підстав, визначених цим пунктом.</w:t>
            </w:r>
          </w:p>
        </w:tc>
      </w:tr>
    </w:tbl>
    <w:p>
      <w:pPr>
        <w:spacing w:before="0" w:after="0" w:line="240" w:lineRule="auto"/>
        <w:ind w:firstLine="567"/>
        <w:jc w:val="both"/>
        <w:rPr>
          <w:rFonts w:ascii="Times New Roman" w:hAnsi="Times New Roman" w:eastAsia="Times New Roman" w:cs="Times New Roman"/>
          <w:b/>
          <w:sz w:val="24"/>
          <w:szCs w:val="24"/>
          <w:shd w:val="clear" w:fill="auto"/>
        </w:rPr>
      </w:pPr>
    </w:p>
    <w:p>
      <w:pPr>
        <w:spacing w:before="0" w:after="0" w:line="240" w:lineRule="auto"/>
        <w:ind w:left="-880" w:leftChars="-400" w:firstLine="567" w:firstLineChars="236"/>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Переможець процедури закупівлі</w:t>
      </w:r>
      <w:r>
        <w:rPr>
          <w:rFonts w:ascii="Times New Roman" w:hAnsi="Times New Roman" w:eastAsia="Times New Roman" w:cs="Times New Roman"/>
          <w:sz w:val="24"/>
          <w:szCs w:val="24"/>
          <w:shd w:val="clear" w:fill="auto"/>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before="0" w:after="0" w:line="240" w:lineRule="auto"/>
        <w:ind w:left="-880" w:leftChars="-400" w:firstLine="566" w:firstLineChars="236"/>
        <w:jc w:val="both"/>
        <w:rPr>
          <w:rFonts w:ascii="Times New Roman" w:hAnsi="Times New Roman" w:eastAsia="Times New Roman" w:cs="Times New Roman"/>
          <w:sz w:val="24"/>
          <w:szCs w:val="24"/>
          <w:shd w:val="clear" w:fill="auto"/>
        </w:rPr>
      </w:pPr>
      <w:bookmarkStart w:id="1" w:name="_GoBack"/>
      <w:bookmarkEnd w:id="1"/>
    </w:p>
    <w:tbl>
      <w:tblPr>
        <w:tblStyle w:val="3"/>
        <w:tblpPr w:leftFromText="180" w:rightFromText="180" w:vertAnchor="text" w:horzAnchor="page" w:tblpX="1077" w:tblpY="254"/>
        <w:tblOverlap w:val="never"/>
        <w:tblW w:w="9900" w:type="dxa"/>
        <w:tblInd w:w="0" w:type="dxa"/>
        <w:tblLayout w:type="fixed"/>
        <w:tblCellMar>
          <w:top w:w="100" w:type="dxa"/>
          <w:left w:w="100" w:type="dxa"/>
          <w:bottom w:w="100" w:type="dxa"/>
          <w:right w:w="100" w:type="dxa"/>
        </w:tblCellMar>
      </w:tblPr>
      <w:tblGrid>
        <w:gridCol w:w="765"/>
        <w:gridCol w:w="4455"/>
        <w:gridCol w:w="4680"/>
      </w:tblGrid>
      <w:tr>
        <w:tblPrEx>
          <w:tblCellMar>
            <w:top w:w="100" w:type="dxa"/>
            <w:left w:w="100" w:type="dxa"/>
            <w:bottom w:w="100" w:type="dxa"/>
            <w:right w:w="100" w:type="dxa"/>
          </w:tblCellMar>
        </w:tblPrEx>
        <w:trPr>
          <w:trHeight w:val="253"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№з/п</w:t>
            </w:r>
          </w:p>
        </w:tc>
        <w:tc>
          <w:tcPr>
            <w:tcW w:w="4455" w:type="dxa"/>
            <w:tcBorders>
              <w:top w:val="single" w:color="000000" w:sz="8" w:space="0"/>
              <w:left w:val="single" w:color="000000" w:sz="8" w:space="0"/>
              <w:bottom w:val="single" w:color="000000" w:sz="8" w:space="0"/>
              <w:right w:val="single" w:color="000000" w:sz="8" w:space="0"/>
            </w:tcBorders>
            <w:vAlign w:val="center"/>
          </w:tcPr>
          <w:p>
            <w:pPr>
              <w:widowControl w:val="0"/>
              <w:spacing w:before="0" w:after="0" w:line="240" w:lineRule="auto"/>
              <w:jc w:val="center"/>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Вимоги згідно п.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tcBorders>
              <w:top w:val="single" w:color="000000" w:sz="8" w:space="0"/>
              <w:left w:val="single" w:color="000000" w:sz="8" w:space="0"/>
              <w:bottom w:val="single" w:color="000000" w:sz="8" w:space="0"/>
              <w:right w:val="single" w:color="000000" w:sz="8" w:space="0"/>
            </w:tcBorders>
            <w:vAlign w:val="center"/>
          </w:tcPr>
          <w:p>
            <w:pPr>
              <w:widowControl w:val="0"/>
              <w:spacing w:before="0" w:after="0" w:line="240" w:lineRule="auto"/>
              <w:jc w:val="center"/>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Підтвердження відсутності підстав</w:t>
            </w:r>
          </w:p>
        </w:tc>
      </w:tr>
      <w:tr>
        <w:tblPrEx>
          <w:tblCellMar>
            <w:top w:w="100" w:type="dxa"/>
            <w:left w:w="100" w:type="dxa"/>
            <w:bottom w:w="100" w:type="dxa"/>
            <w:right w:w="100"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1</w:t>
            </w:r>
          </w:p>
        </w:tc>
        <w:tc>
          <w:tcPr>
            <w:tcW w:w="4455" w:type="dxa"/>
            <w:tcBorders>
              <w:top w:val="single" w:color="000000" w:sz="8" w:space="0"/>
              <w:left w:val="single" w:color="000000" w:sz="8" w:space="0"/>
              <w:bottom w:val="single" w:color="000000" w:sz="8" w:space="0"/>
              <w:right w:val="single" w:color="000000" w:sz="8" w:space="0"/>
            </w:tcBorders>
          </w:tcPr>
          <w:p>
            <w:pPr>
              <w:widowControl w:val="0"/>
              <w:spacing w:before="0" w:after="0" w:line="240" w:lineRule="auto"/>
              <w:ind w:firstLine="328"/>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before="0" w:after="0" w:line="240" w:lineRule="auto"/>
              <w:ind w:firstLine="328"/>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(підпункт 3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tcBorders>
              <w:top w:val="single" w:color="000000" w:sz="8" w:space="0"/>
              <w:left w:val="single" w:color="000000" w:sz="8" w:space="0"/>
              <w:bottom w:val="single" w:color="000000" w:sz="8" w:space="0"/>
              <w:right w:val="single" w:color="000000" w:sz="8" w:space="0"/>
            </w:tcBorders>
          </w:tcPr>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Інформаційна довідка </w:t>
            </w:r>
            <w:r>
              <w:rPr>
                <w:rFonts w:ascii="Times New Roman" w:hAnsi="Times New Roman" w:eastAsia="Times New Roman" w:cs="Times New Roman"/>
                <w:sz w:val="24"/>
                <w:szCs w:val="24"/>
                <w:shd w:val="clear" w:fill="auto"/>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widowControl w:val="0"/>
              <w:spacing w:before="0" w:after="0" w:line="240" w:lineRule="auto"/>
              <w:ind w:firstLine="467"/>
              <w:jc w:val="both"/>
              <w:rPr>
                <w:rFonts w:ascii="Times New Roman" w:hAnsi="Times New Roman" w:eastAsia="Times New Roman" w:cs="Times New Roman"/>
                <w:i/>
                <w:sz w:val="24"/>
                <w:szCs w:val="24"/>
                <w:shd w:val="clear" w:fill="auto"/>
              </w:rPr>
            </w:pPr>
            <w:r>
              <w:rPr>
                <w:rFonts w:ascii="Times New Roman" w:hAnsi="Times New Roman" w:eastAsia="Times New Roman" w:cs="Times New Roman"/>
                <w:i/>
                <w:sz w:val="24"/>
                <w:szCs w:val="24"/>
                <w:shd w:val="clear" w:fill="auto"/>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100" w:type="dxa"/>
            <w:left w:w="100" w:type="dxa"/>
            <w:bottom w:w="100" w:type="dxa"/>
            <w:right w:w="100"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2</w:t>
            </w:r>
          </w:p>
        </w:tc>
        <w:tc>
          <w:tcPr>
            <w:tcW w:w="4455" w:type="dxa"/>
            <w:tcBorders>
              <w:top w:val="single" w:color="000000" w:sz="8" w:space="0"/>
              <w:left w:val="single" w:color="000000" w:sz="8" w:space="0"/>
              <w:bottom w:val="single" w:color="000000" w:sz="8" w:space="0"/>
              <w:right w:val="single" w:color="000000" w:sz="8" w:space="0"/>
            </w:tcBorders>
          </w:tcPr>
          <w:p>
            <w:pPr>
              <w:widowControl w:val="0"/>
              <w:spacing w:before="0" w:after="0" w:line="240" w:lineRule="auto"/>
              <w:ind w:firstLine="328"/>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before="0" w:after="0" w:line="240" w:lineRule="auto"/>
              <w:ind w:firstLine="328"/>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(підпункт 6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vMerge w:val="restart"/>
            <w:tcBorders>
              <w:top w:val="single" w:color="000000" w:sz="8" w:space="0"/>
              <w:left w:val="single" w:color="000000" w:sz="8" w:space="0"/>
              <w:right w:val="single" w:color="000000" w:sz="8" w:space="0"/>
            </w:tcBorders>
          </w:tcPr>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Витяг</w:t>
            </w:r>
            <w:r>
              <w:rPr>
                <w:rFonts w:ascii="Times New Roman" w:hAnsi="Times New Roman" w:eastAsia="Times New Roman" w:cs="Times New Roman"/>
                <w:sz w:val="24"/>
                <w:szCs w:val="24"/>
                <w:shd w:val="clear" w:fill="auto"/>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val="clear" w:fill="auto"/>
              </w:rPr>
              <w:t xml:space="preserve"> </w:t>
            </w:r>
            <w:r>
              <w:rPr>
                <w:rFonts w:ascii="Times New Roman" w:hAnsi="Times New Roman" w:eastAsia="Times New Roman" w:cs="Times New Roman"/>
                <w:sz w:val="24"/>
                <w:szCs w:val="24"/>
                <w:shd w:val="clear" w:fill="auto"/>
              </w:rPr>
              <w:t>щодо керівника учасника процедури закупівлі.</w:t>
            </w:r>
          </w:p>
          <w:p>
            <w:pPr>
              <w:widowControl w:val="0"/>
              <w:spacing w:before="0" w:after="0" w:line="240" w:lineRule="auto"/>
              <w:ind w:firstLine="467"/>
              <w:jc w:val="both"/>
              <w:rPr>
                <w:rFonts w:ascii="Times New Roman" w:hAnsi="Times New Roman" w:eastAsia="Times New Roman" w:cs="Times New Roman"/>
                <w:sz w:val="24"/>
                <w:szCs w:val="24"/>
                <w:shd w:val="clear" w:fill="auto"/>
                <w:lang w:val="en-US"/>
              </w:rPr>
            </w:pPr>
          </w:p>
          <w:p>
            <w:pPr>
              <w:widowControl w:val="0"/>
              <w:spacing w:before="0" w:after="0" w:line="240" w:lineRule="auto"/>
              <w:ind w:firstLine="467"/>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Витяг повинен бути не більше тридцятиденної давнини з дня оголошення про проведення процедури.</w:t>
            </w:r>
          </w:p>
        </w:tc>
      </w:tr>
      <w:tr>
        <w:tblPrEx>
          <w:tblCellMar>
            <w:top w:w="100" w:type="dxa"/>
            <w:left w:w="100" w:type="dxa"/>
            <w:bottom w:w="100" w:type="dxa"/>
            <w:right w:w="100" w:type="dxa"/>
          </w:tblCellMar>
        </w:tblPrEx>
        <w:trPr>
          <w:trHeight w:val="2126"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3</w:t>
            </w:r>
          </w:p>
        </w:tc>
        <w:tc>
          <w:tcPr>
            <w:tcW w:w="4455" w:type="dxa"/>
            <w:tcBorders>
              <w:top w:val="single" w:color="000000" w:sz="8" w:space="0"/>
              <w:left w:val="single" w:color="000000" w:sz="8" w:space="0"/>
              <w:bottom w:val="single" w:color="000000" w:sz="8" w:space="0"/>
              <w:right w:val="single" w:color="000000" w:sz="8" w:space="0"/>
            </w:tcBorders>
          </w:tcPr>
          <w:p>
            <w:pPr>
              <w:widowControl w:val="0"/>
              <w:spacing w:before="0" w:after="0" w:line="240" w:lineRule="auto"/>
              <w:ind w:firstLine="328"/>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before="0" w:after="0" w:line="240" w:lineRule="auto"/>
              <w:ind w:firstLine="328"/>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(підпункт 12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vMerge w:val="continue"/>
            <w:tcBorders>
              <w:top w:val="single" w:color="000000" w:sz="8" w:space="0"/>
              <w:left w:val="single" w:color="000000" w:sz="8" w:space="0"/>
              <w:right w:val="single" w:color="000000" w:sz="8" w:space="0"/>
            </w:tcBorders>
          </w:tcPr>
          <w:p>
            <w:pPr>
              <w:widowControl w:val="0"/>
              <w:snapToGrid w:val="0"/>
              <w:spacing w:before="0" w:after="0" w:line="240" w:lineRule="auto"/>
              <w:ind w:firstLine="567"/>
              <w:rPr>
                <w:rFonts w:ascii="Times New Roman" w:hAnsi="Times New Roman" w:eastAsia="Times New Roman" w:cs="Times New Roman"/>
                <w:b/>
                <w:sz w:val="24"/>
                <w:szCs w:val="24"/>
                <w:shd w:val="clear" w:fill="auto"/>
              </w:rPr>
            </w:pPr>
          </w:p>
        </w:tc>
      </w:tr>
      <w:tr>
        <w:tblPrEx>
          <w:tblCellMar>
            <w:top w:w="100" w:type="dxa"/>
            <w:left w:w="100" w:type="dxa"/>
            <w:bottom w:w="100" w:type="dxa"/>
            <w:right w:w="100" w:type="dxa"/>
          </w:tblCellMar>
        </w:tblPrEx>
        <w:trPr>
          <w:trHeight w:val="5154"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4</w:t>
            </w:r>
          </w:p>
        </w:tc>
        <w:tc>
          <w:tcPr>
            <w:tcW w:w="4455" w:type="dxa"/>
            <w:tcBorders>
              <w:top w:val="single" w:color="000000" w:sz="8" w:space="0"/>
              <w:left w:val="single" w:color="000000" w:sz="8" w:space="0"/>
              <w:bottom w:val="single" w:color="000000" w:sz="8" w:space="0"/>
              <w:right w:val="single" w:color="000000" w:sz="8" w:space="0"/>
            </w:tcBorders>
          </w:tcPr>
          <w:p>
            <w:pPr>
              <w:widowControl w:val="0"/>
              <w:spacing w:before="0" w:after="0" w:line="240" w:lineRule="auto"/>
              <w:ind w:firstLine="328"/>
              <w:jc w:val="both"/>
              <w:rPr>
                <w:rFonts w:ascii="Times New Roman" w:hAnsi="Times New Roman"/>
                <w:sz w:val="24"/>
                <w:szCs w:val="24"/>
                <w:shd w:val="clear" w:fill="auto"/>
              </w:rPr>
            </w:pPr>
            <w:r>
              <w:rPr>
                <w:rFonts w:ascii="Times New Roman" w:hAnsi="Times New Roman" w:eastAsia="Times New Roman" w:cs="Times New Roman"/>
                <w:sz w:val="24"/>
                <w:szCs w:val="24"/>
                <w:shd w:val="clear" w:fill="auto"/>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widowControl w:val="0"/>
              <w:spacing w:before="0" w:after="0" w:line="240" w:lineRule="auto"/>
              <w:ind w:firstLine="328"/>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(абзац 14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tcBorders>
              <w:top w:val="single" w:color="000000" w:sz="8" w:space="0"/>
              <w:left w:val="single" w:color="000000" w:sz="8" w:space="0"/>
              <w:bottom w:val="single" w:color="000000" w:sz="8" w:space="0"/>
              <w:right w:val="single" w:color="000000" w:sz="8" w:space="0"/>
            </w:tcBorders>
          </w:tcPr>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Довідка в довільній формі</w:t>
            </w:r>
            <w:r>
              <w:rPr>
                <w:rFonts w:ascii="Times New Roman" w:hAnsi="Times New Roman" w:eastAsia="Times New Roman" w:cs="Times New Roman"/>
                <w:sz w:val="24"/>
                <w:szCs w:val="24"/>
                <w:shd w:val="clear" w:fill="auto"/>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sz w:val="24"/>
                <w:szCs w:val="24"/>
                <w:shd w:val="clear" w:fill="auto"/>
              </w:rPr>
              <w:t>Якщо такі випадки мали місце -</w:t>
            </w:r>
            <w:r>
              <w:rPr>
                <w:rFonts w:ascii="Times New Roman" w:hAnsi="Times New Roman" w:cs="Times New Roman"/>
                <w:sz w:val="24"/>
                <w:szCs w:val="24"/>
                <w:shd w:val="clear" w:fill="auto"/>
              </w:rPr>
              <w:t xml:space="preserve"> Учасник процедури закупівлі </w:t>
            </w:r>
            <w:r>
              <w:rPr>
                <w:rFonts w:ascii="Times New Roman" w:hAnsi="Times New Roman" w:eastAsia="Times New Roman" w:cs="Times New Roman"/>
                <w:sz w:val="24"/>
                <w:szCs w:val="24"/>
                <w:shd w:val="clear" w:fill="auto"/>
              </w:rPr>
              <w:t>може надати підтвердження вжиття заходів для доведення своєї надійності.</w:t>
            </w:r>
          </w:p>
        </w:tc>
      </w:tr>
    </w:tbl>
    <w:p>
      <w:pPr>
        <w:spacing w:before="0" w:after="0" w:line="240" w:lineRule="auto"/>
        <w:ind w:left="-880" w:leftChars="-400" w:firstLine="567" w:firstLineChars="236"/>
        <w:jc w:val="center"/>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Документи, які надаються переможцем процедури закупівлі (юридичною особою):</w:t>
      </w:r>
    </w:p>
    <w:p>
      <w:pPr>
        <w:spacing w:before="0" w:after="0" w:line="240" w:lineRule="auto"/>
        <w:ind w:firstLine="567"/>
        <w:rPr>
          <w:rFonts w:ascii="Times New Roman" w:hAnsi="Times New Roman" w:eastAsia="Times New Roman" w:cs="Times New Roman"/>
          <w:b/>
          <w:sz w:val="24"/>
          <w:szCs w:val="24"/>
          <w:shd w:val="clear" w:fill="auto"/>
        </w:rPr>
      </w:pPr>
    </w:p>
    <w:p>
      <w:pPr>
        <w:spacing w:before="0" w:after="0" w:line="240" w:lineRule="auto"/>
        <w:jc w:val="center"/>
        <w:rPr>
          <w:rFonts w:ascii="Times New Roman" w:hAnsi="Times New Roman" w:eastAsia="Times New Roman" w:cs="Times New Roman"/>
          <w:sz w:val="24"/>
          <w:szCs w:val="24"/>
          <w:shd w:val="clear" w:fill="auto"/>
        </w:rPr>
      </w:pPr>
      <w:r>
        <w:rPr>
          <w:rFonts w:ascii="Times New Roman" w:hAnsi="Times New Roman" w:eastAsia="Times New Roman" w:cs="Times New Roman"/>
          <w:b/>
          <w:sz w:val="24"/>
          <w:szCs w:val="24"/>
          <w:shd w:val="clear" w:fill="auto"/>
        </w:rPr>
        <w:t>Документи, які надаються  переможцем процедури закупівлі (фізичною особою чи фізичною особою - підприємцем):</w:t>
      </w:r>
    </w:p>
    <w:tbl>
      <w:tblPr>
        <w:tblStyle w:val="3"/>
        <w:tblpPr w:leftFromText="180" w:rightFromText="180" w:vertAnchor="text" w:horzAnchor="page" w:tblpX="1147" w:tblpY="316"/>
        <w:tblOverlap w:val="never"/>
        <w:tblW w:w="9900" w:type="dxa"/>
        <w:tblInd w:w="0" w:type="dxa"/>
        <w:tblLayout w:type="fixed"/>
        <w:tblCellMar>
          <w:top w:w="100" w:type="dxa"/>
          <w:left w:w="100" w:type="dxa"/>
          <w:bottom w:w="100" w:type="dxa"/>
          <w:right w:w="100" w:type="dxa"/>
        </w:tblCellMar>
      </w:tblPr>
      <w:tblGrid>
        <w:gridCol w:w="766"/>
        <w:gridCol w:w="4454"/>
        <w:gridCol w:w="4680"/>
      </w:tblGrid>
      <w:tr>
        <w:tblPrEx>
          <w:tblCellMar>
            <w:top w:w="100" w:type="dxa"/>
            <w:left w:w="100" w:type="dxa"/>
            <w:bottom w:w="100" w:type="dxa"/>
            <w:right w:w="100" w:type="dxa"/>
          </w:tblCellMar>
        </w:tblPrEx>
        <w:trPr>
          <w:trHeight w:val="337"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№з/п</w:t>
            </w:r>
          </w:p>
        </w:tc>
        <w:tc>
          <w:tcPr>
            <w:tcW w:w="445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Вимоги згідно п.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Підтвердження відсутності підстав</w:t>
            </w:r>
          </w:p>
        </w:tc>
      </w:tr>
      <w:tr>
        <w:tblPrEx>
          <w:tblCellMar>
            <w:top w:w="100" w:type="dxa"/>
            <w:left w:w="100" w:type="dxa"/>
            <w:bottom w:w="100" w:type="dxa"/>
            <w:right w:w="100" w:type="dxa"/>
          </w:tblCellMar>
        </w:tblPrEx>
        <w:trPr>
          <w:trHeight w:val="306"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1</w:t>
            </w:r>
          </w:p>
        </w:tc>
        <w:tc>
          <w:tcPr>
            <w:tcW w:w="445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326"/>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before="0" w:after="0" w:line="240" w:lineRule="auto"/>
              <w:ind w:firstLine="326"/>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(підпункт 3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Інформаційна довідка </w:t>
            </w:r>
            <w:r>
              <w:rPr>
                <w:rFonts w:ascii="Times New Roman" w:hAnsi="Times New Roman" w:eastAsia="Times New Roman" w:cs="Times New Roman"/>
                <w:sz w:val="24"/>
                <w:szCs w:val="24"/>
                <w:shd w:val="clear" w:fill="auto"/>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widowControl w:val="0"/>
              <w:spacing w:before="0" w:after="0" w:line="240" w:lineRule="auto"/>
              <w:ind w:firstLine="467"/>
              <w:jc w:val="both"/>
              <w:rPr>
                <w:rFonts w:ascii="Times New Roman" w:hAnsi="Times New Roman" w:eastAsia="Times New Roman" w:cs="Times New Roman"/>
                <w:i/>
                <w:sz w:val="24"/>
                <w:szCs w:val="24"/>
                <w:shd w:val="clear" w:fill="auto"/>
              </w:rPr>
            </w:pPr>
            <w:r>
              <w:rPr>
                <w:rFonts w:ascii="Times New Roman" w:hAnsi="Times New Roman" w:eastAsia="Times New Roman" w:cs="Times New Roman"/>
                <w:i/>
                <w:sz w:val="24"/>
                <w:szCs w:val="24"/>
                <w:shd w:val="clear" w:fill="auto"/>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100" w:type="dxa"/>
            <w:left w:w="100" w:type="dxa"/>
            <w:bottom w:w="100" w:type="dxa"/>
            <w:right w:w="100" w:type="dxa"/>
          </w:tblCellMar>
        </w:tblPrEx>
        <w:trPr>
          <w:trHeight w:val="2152" w:hRule="atLeast"/>
        </w:trPr>
        <w:tc>
          <w:tcPr>
            <w:tcW w:w="766"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2</w:t>
            </w:r>
          </w:p>
        </w:tc>
        <w:tc>
          <w:tcPr>
            <w:tcW w:w="445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326"/>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0" w:after="0" w:line="240" w:lineRule="auto"/>
              <w:ind w:firstLine="326"/>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(підпункт 5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vMerge w:val="restart"/>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Витяг </w:t>
            </w:r>
            <w:r>
              <w:rPr>
                <w:rFonts w:ascii="Times New Roman" w:hAnsi="Times New Roman" w:eastAsia="Times New Roman" w:cs="Times New Roman"/>
                <w:sz w:val="24"/>
                <w:szCs w:val="24"/>
                <w:shd w:val="clear" w:fill="auto"/>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val="clear" w:fill="auto"/>
              </w:rPr>
              <w:t xml:space="preserve"> </w:t>
            </w:r>
            <w:r>
              <w:rPr>
                <w:rFonts w:ascii="Times New Roman" w:hAnsi="Times New Roman" w:eastAsia="Times New Roman" w:cs="Times New Roman"/>
                <w:sz w:val="24"/>
                <w:szCs w:val="24"/>
                <w:shd w:val="clear" w:fill="auto"/>
              </w:rPr>
              <w:t>Фізичної особи, яка є учасником процедури закупівлі.</w:t>
            </w:r>
          </w:p>
          <w:p>
            <w:pPr>
              <w:widowControl w:val="0"/>
              <w:spacing w:before="0" w:after="0" w:line="240" w:lineRule="auto"/>
              <w:ind w:firstLine="467"/>
              <w:jc w:val="both"/>
              <w:rPr>
                <w:rFonts w:ascii="Times New Roman" w:hAnsi="Times New Roman" w:eastAsia="Times New Roman" w:cs="Times New Roman"/>
                <w:sz w:val="24"/>
                <w:szCs w:val="24"/>
                <w:shd w:val="clear" w:fill="auto"/>
              </w:rPr>
            </w:pPr>
          </w:p>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sz w:val="24"/>
                <w:szCs w:val="24"/>
                <w:shd w:val="clear" w:fill="auto"/>
              </w:rPr>
              <w:t>Витяг повинен бути не більше тридцятиденної давнини з дня оголошення про проведення процедури.</w:t>
            </w:r>
          </w:p>
        </w:tc>
      </w:tr>
      <w:tr>
        <w:tblPrEx>
          <w:tblCellMar>
            <w:top w:w="100" w:type="dxa"/>
            <w:left w:w="100" w:type="dxa"/>
            <w:bottom w:w="100" w:type="dxa"/>
            <w:right w:w="100" w:type="dxa"/>
          </w:tblCellMar>
        </w:tblPrEx>
        <w:trPr>
          <w:trHeight w:val="1635" w:hRule="atLeast"/>
        </w:trPr>
        <w:tc>
          <w:tcPr>
            <w:tcW w:w="766"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3</w:t>
            </w:r>
          </w:p>
        </w:tc>
        <w:tc>
          <w:tcPr>
            <w:tcW w:w="445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326"/>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before="0" w:after="0" w:line="240" w:lineRule="auto"/>
              <w:ind w:firstLine="326"/>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(підпункт 12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vMerge w:val="continue"/>
            <w:tcBorders>
              <w:top w:val="single" w:color="000000" w:sz="4" w:space="0"/>
              <w:left w:val="single" w:color="000000" w:sz="4" w:space="0"/>
              <w:bottom w:val="single" w:color="000000" w:sz="4" w:space="0"/>
              <w:right w:val="single" w:color="000000" w:sz="4" w:space="0"/>
            </w:tcBorders>
          </w:tcPr>
          <w:p>
            <w:pPr>
              <w:widowControl w:val="0"/>
              <w:snapToGrid w:val="0"/>
              <w:spacing w:before="0" w:after="0" w:line="240" w:lineRule="auto"/>
              <w:ind w:firstLine="567"/>
              <w:rPr>
                <w:rFonts w:ascii="Times New Roman" w:hAnsi="Times New Roman" w:eastAsia="Times New Roman" w:cs="Times New Roman"/>
                <w:sz w:val="24"/>
                <w:szCs w:val="24"/>
                <w:shd w:val="clear" w:fill="auto"/>
              </w:rPr>
            </w:pPr>
          </w:p>
        </w:tc>
      </w:tr>
      <w:tr>
        <w:trPr>
          <w:trHeight w:val="4092" w:hRule="atLeast"/>
        </w:trPr>
        <w:tc>
          <w:tcPr>
            <w:tcW w:w="766"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jc w:val="center"/>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shd w:val="clear" w:fill="auto"/>
              </w:rPr>
              <w:t>4</w:t>
            </w:r>
          </w:p>
        </w:tc>
        <w:tc>
          <w:tcPr>
            <w:tcW w:w="445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326"/>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widowControl w:val="0"/>
              <w:spacing w:before="0" w:after="0" w:line="240" w:lineRule="auto"/>
              <w:ind w:firstLine="326"/>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 xml:space="preserve">(абзац 14 пункт </w:t>
            </w:r>
            <w:r>
              <w:rPr>
                <w:rFonts w:ascii="Times New Roman" w:hAnsi="Times New Roman" w:eastAsia="Times New Roman" w:cs="Times New Roman"/>
                <w:b/>
                <w:color w:val="17365D"/>
                <w:sz w:val="24"/>
                <w:szCs w:val="24"/>
                <w:shd w:val="clear" w:fill="auto"/>
              </w:rPr>
              <w:t>4</w:t>
            </w:r>
            <w:r>
              <w:rPr>
                <w:rFonts w:ascii="Times New Roman" w:hAnsi="Times New Roman" w:eastAsia="Times New Roman" w:cs="Times New Roman"/>
                <w:b/>
                <w:color w:val="17365D"/>
                <w:sz w:val="24"/>
                <w:szCs w:val="24"/>
                <w:shd w:val="clear" w:fill="auto"/>
                <w:lang w:val="en-US"/>
              </w:rPr>
              <w:t>7</w:t>
            </w:r>
            <w:r>
              <w:rPr>
                <w:rFonts w:ascii="Times New Roman" w:hAnsi="Times New Roman" w:eastAsia="Times New Roman" w:cs="Times New Roman"/>
                <w:b/>
                <w:sz w:val="24"/>
                <w:szCs w:val="24"/>
                <w:shd w:val="clear" w:fill="auto"/>
              </w:rPr>
              <w:t xml:space="preserve"> Особливостей)</w:t>
            </w:r>
          </w:p>
        </w:tc>
        <w:tc>
          <w:tcPr>
            <w:tcW w:w="4680"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467"/>
              <w:jc w:val="both"/>
              <w:rPr>
                <w:rFonts w:ascii="Times New Roman" w:hAnsi="Times New Roman"/>
                <w:sz w:val="24"/>
                <w:szCs w:val="24"/>
                <w:shd w:val="clear" w:fill="auto"/>
              </w:rPr>
            </w:pPr>
            <w:r>
              <w:rPr>
                <w:rFonts w:ascii="Times New Roman" w:hAnsi="Times New Roman" w:eastAsia="Times New Roman" w:cs="Times New Roman"/>
                <w:b/>
                <w:sz w:val="24"/>
                <w:szCs w:val="24"/>
                <w:shd w:val="clear" w:fill="auto"/>
              </w:rPr>
              <w:t>Довідка у довільній формі</w:t>
            </w:r>
            <w:r>
              <w:rPr>
                <w:rFonts w:ascii="Times New Roman" w:hAnsi="Times New Roman" w:eastAsia="Times New Roman" w:cs="Times New Roman"/>
                <w:sz w:val="24"/>
                <w:szCs w:val="24"/>
                <w:shd w:val="clear" w:fill="auto"/>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widowControl w:val="0"/>
              <w:spacing w:before="0" w:after="0" w:line="240" w:lineRule="auto"/>
              <w:ind w:firstLine="467"/>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Pr>
              <w:t>Якщо такі випадки мали місце - Учасник процедури закупівлі може надати підтвердження вжиття заходів для доведення своєї надійності.</w:t>
            </w:r>
          </w:p>
        </w:tc>
      </w:tr>
    </w:tbl>
    <w:p/>
    <w:sectPr>
      <w:pgSz w:w="11906" w:h="16838"/>
      <w:pgMar w:top="780" w:right="108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CYR">
    <w:altName w:val="Times New Roman"/>
    <w:panose1 w:val="00000000000000000000"/>
    <w:charset w:val="CC"/>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0E71DE"/>
    <w:rsid w:val="790C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suppressAutoHyphens/>
      <w:bidi w:val="0"/>
      <w:spacing w:before="0" w:after="200" w:line="276" w:lineRule="auto"/>
      <w:jc w:val="left"/>
    </w:pPr>
    <w:rPr>
      <w:rFonts w:cs="Times New Roman" w:asciiTheme="minorHAnsi" w:hAnsiTheme="minorHAnsi" w:eastAsiaTheme="minorHAnsi"/>
      <w:color w:val="auto"/>
      <w:kern w:val="0"/>
      <w:sz w:val="22"/>
      <w:szCs w:val="22"/>
      <w:lang w:val="uk-UA"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2024-03-27T09:55:26Z</dcterms:created>
  <dc:creator>User</dc:creator>
  <cp:lastModifiedBy>Андрій Лісний</cp:lastModifiedBy>
  <dcterms:modified xsi:type="dcterms:W3CDTF">2024-03-27T09:58:55Z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BBCD4F87A974447EBD74A7A50A965F82_12</vt:lpwstr>
  </property>
</Properties>
</file>