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w:t>
      </w:r>
      <w:r>
        <w:rPr>
          <w:rFonts w:hint="default"/>
          <w:b/>
          <w:iCs/>
          <w:lang w:val="uk-UA"/>
        </w:rPr>
        <w:t>3</w:t>
      </w:r>
      <w:r>
        <w:rPr>
          <w:b/>
          <w:iCs/>
          <w:lang w:val="uk-UA"/>
        </w:rPr>
        <w:t xml:space="preserve"> до</w:t>
      </w:r>
    </w:p>
    <w:p>
      <w:pPr>
        <w:ind w:left="5664" w:firstLine="708"/>
        <w:jc w:val="center"/>
        <w:rPr>
          <w:b/>
          <w:iCs/>
          <w:lang w:val="uk-UA"/>
        </w:rPr>
      </w:pPr>
      <w:r>
        <w:rPr>
          <w:b/>
          <w:iCs/>
          <w:lang w:val="uk-UA"/>
        </w:rPr>
        <w:t xml:space="preserve">Тендерної документації </w:t>
      </w:r>
    </w:p>
    <w:p>
      <w:pPr>
        <w:ind w:left="5664" w:firstLine="708"/>
        <w:jc w:val="center"/>
        <w:rPr>
          <w:b/>
          <w:iCs/>
          <w:lang w:val="uk-UA"/>
        </w:rPr>
      </w:pPr>
    </w:p>
    <w:p>
      <w:pPr>
        <w:ind w:left="2884" w:leftChars="0" w:hanging="4" w:firstLineChars="0"/>
        <w:jc w:val="left"/>
        <w:rPr>
          <w:rFonts w:hint="default"/>
          <w:b/>
          <w:iCs/>
          <w:lang w:val="uk-UA"/>
        </w:rPr>
      </w:pPr>
      <w:r>
        <w:rPr>
          <w:b/>
          <w:iCs/>
          <w:lang w:val="uk-UA"/>
        </w:rPr>
        <w:t>ПРОЄКТ</w:t>
      </w:r>
      <w:r>
        <w:rPr>
          <w:rFonts w:hint="default"/>
          <w:b/>
          <w:iCs/>
          <w:lang w:val="uk-UA"/>
        </w:rPr>
        <w:t xml:space="preserve"> ДОГОВОРУ</w:t>
      </w:r>
    </w:p>
    <w:p>
      <w:pPr>
        <w:ind w:left="5664" w:firstLine="708"/>
        <w:jc w:val="center"/>
      </w:pPr>
      <w:r>
        <w:rPr>
          <w:b/>
          <w:iCs/>
          <w:lang w:val="uk-UA"/>
        </w:rPr>
        <w:t xml:space="preserve">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rPr>
          <w:i w:val="0"/>
          <w:iCs/>
        </w:rPr>
      </w:pPr>
      <w:r>
        <w:rPr>
          <w:b/>
          <w:i w:val="0"/>
          <w:iCs/>
          <w:color w:val="000000"/>
          <w:spacing w:val="-2"/>
          <w:lang w:val="uk-UA"/>
        </w:rPr>
        <w:t>м. Вознесенськ                                                                                      «___»__</w:t>
      </w:r>
      <w:r>
        <w:rPr>
          <w:rFonts w:hint="default"/>
          <w:b/>
          <w:i w:val="0"/>
          <w:iCs/>
          <w:color w:val="000000"/>
          <w:spacing w:val="-2"/>
          <w:lang w:val="uk-UA"/>
        </w:rPr>
        <w:t>_</w:t>
      </w:r>
      <w:r>
        <w:rPr>
          <w:b/>
          <w:i w:val="0"/>
          <w:iCs/>
          <w:color w:val="000000"/>
          <w:spacing w:val="-2"/>
          <w:lang w:val="uk-UA"/>
        </w:rPr>
        <w:t>________</w:t>
      </w:r>
      <w:r>
        <w:rPr>
          <w:b/>
          <w:i w:val="0"/>
          <w:iCs/>
          <w:color w:val="000000"/>
          <w:lang w:val="uk-UA"/>
        </w:rPr>
        <w:t>202</w:t>
      </w:r>
      <w:r>
        <w:rPr>
          <w:rFonts w:hint="default"/>
          <w:b/>
          <w:i w:val="0"/>
          <w:iCs/>
          <w:color w:val="000000"/>
          <w:lang w:val="uk-UA"/>
        </w:rPr>
        <w:t xml:space="preserve">3 </w:t>
      </w:r>
      <w:r>
        <w:rPr>
          <w:b/>
          <w:i w:val="0"/>
          <w:iCs/>
          <w:color w:val="000000"/>
          <w:lang w:val="uk-UA"/>
        </w:rPr>
        <w:t xml:space="preserve">року  </w:t>
      </w:r>
    </w:p>
    <w:p>
      <w:pPr>
        <w:pStyle w:val="42"/>
        <w:jc w:val="both"/>
      </w:pPr>
      <w:r>
        <w:rPr>
          <w:rFonts w:eastAsia="Times New Roman CYR"/>
          <w:color w:val="000000"/>
          <w:lang w:val="uk-UA"/>
        </w:rPr>
        <w:t xml:space="preserve">               </w:t>
      </w:r>
    </w:p>
    <w:p>
      <w:pPr>
        <w:pStyle w:val="42"/>
        <w:ind w:firstLine="709"/>
        <w:jc w:val="both"/>
      </w:pPr>
      <w:r>
        <w:rPr>
          <w:b/>
          <w:lang w:val="uk-UA"/>
        </w:rPr>
        <w:t>Управління житлово-комунального господарства</w:t>
      </w:r>
      <w:r>
        <w:rPr>
          <w:lang w:val="uk-UA"/>
        </w:rPr>
        <w:t xml:space="preserve"> </w:t>
      </w:r>
      <w:r>
        <w:rPr>
          <w:b/>
          <w:lang w:val="uk-UA"/>
        </w:rPr>
        <w:t>та капітального будівництва Вознесенської міської ради (далі – Замовник)</w:t>
      </w:r>
      <w:r>
        <w:rPr>
          <w:lang w:val="uk-UA"/>
        </w:rPr>
        <w:t>, в особі _________________</w:t>
      </w:r>
      <w:r>
        <w:rPr>
          <w:rFonts w:hint="default"/>
          <w:lang w:val="uk-UA"/>
        </w:rPr>
        <w:t>_________________</w:t>
      </w:r>
      <w:r>
        <w:rPr>
          <w:lang w:val="uk-UA"/>
        </w:rPr>
        <w:t>_______________</w:t>
      </w:r>
      <w:r>
        <w:rPr>
          <w:b/>
          <w:lang w:val="uk-UA"/>
        </w:rPr>
        <w:t xml:space="preserve"> </w:t>
      </w:r>
      <w:r>
        <w:rPr>
          <w:lang w:val="uk-UA"/>
        </w:rPr>
        <w:t>, що діє на підставі Положення</w:t>
      </w:r>
      <w:r>
        <w:rPr>
          <w:spacing w:val="5"/>
          <w:lang w:val="uk-UA"/>
        </w:rPr>
        <w:t>, з однієї</w:t>
      </w:r>
      <w:r>
        <w:rPr>
          <w:rFonts w:hint="default"/>
          <w:spacing w:val="5"/>
          <w:lang w:val="uk-UA"/>
        </w:rPr>
        <w:t xml:space="preserve"> </w:t>
      </w:r>
      <w:r>
        <w:rPr>
          <w:spacing w:val="5"/>
          <w:lang w:val="uk-UA"/>
        </w:rPr>
        <w:t>сторони,</w:t>
      </w:r>
      <w:r>
        <w:rPr>
          <w:rFonts w:hint="default"/>
          <w:spacing w:val="5"/>
          <w:lang w:val="uk-UA"/>
        </w:rPr>
        <w:t xml:space="preserve"> </w:t>
      </w:r>
      <w:r>
        <w:rPr>
          <w:spacing w:val="5"/>
          <w:lang w:val="uk-UA"/>
        </w:rPr>
        <w:t>і</w:t>
      </w:r>
      <w:r>
        <w:rPr>
          <w:b/>
          <w:bCs/>
          <w:spacing w:val="5"/>
          <w:lang w:val="uk-UA"/>
        </w:rPr>
        <w:t>___</w:t>
      </w:r>
      <w:r>
        <w:rPr>
          <w:rFonts w:hint="default"/>
          <w:b/>
          <w:bCs/>
          <w:spacing w:val="5"/>
          <w:lang w:val="uk-UA"/>
        </w:rPr>
        <w:t>_______________</w:t>
      </w:r>
      <w:r>
        <w:rPr>
          <w:b/>
          <w:bCs/>
          <w:spacing w:val="5"/>
          <w:lang w:val="uk-UA"/>
        </w:rPr>
        <w:t>_________________________________</w:t>
      </w:r>
      <w:r>
        <w:rPr>
          <w:spacing w:val="4"/>
          <w:lang w:val="uk-UA"/>
        </w:rPr>
        <w:t xml:space="preserve"> в особі ____________</w:t>
      </w:r>
      <w:r>
        <w:rPr>
          <w:rFonts w:hint="default"/>
          <w:spacing w:val="4"/>
          <w:lang w:val="uk-UA"/>
        </w:rPr>
        <w:t>____</w:t>
      </w:r>
      <w:r>
        <w:rPr>
          <w:spacing w:val="4"/>
          <w:lang w:val="uk-UA"/>
        </w:rPr>
        <w:t>_______</w:t>
      </w:r>
      <w:r>
        <w:rPr>
          <w:lang w:val="uk-UA"/>
        </w:rPr>
        <w:t xml:space="preserve">, </w:t>
      </w:r>
      <w:r>
        <w:rPr>
          <w:spacing w:val="1"/>
          <w:lang w:val="uk-UA"/>
        </w:rPr>
        <w:t>що діє на підставі __________________________________</w:t>
      </w:r>
      <w:r>
        <w:rPr>
          <w:lang w:val="uk-UA"/>
        </w:rPr>
        <w:t xml:space="preserve"> </w:t>
      </w:r>
      <w:r>
        <w:rPr>
          <w:spacing w:val="1"/>
          <w:lang w:val="uk-UA"/>
        </w:rPr>
        <w:t>(далі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pPr>
      <w:r>
        <w:rPr>
          <w:lang w:val="uk-UA"/>
        </w:rPr>
        <w:t xml:space="preserve">1.2. Найменування послуги: </w:t>
      </w:r>
      <w:r>
        <w:rPr>
          <w:rFonts w:hint="default" w:ascii="Times New Roman" w:hAnsi="Times New Roman" w:cs="Times New Roman"/>
          <w:b/>
          <w:bCs/>
          <w:spacing w:val="-3"/>
          <w:sz w:val="24"/>
          <w:szCs w:val="24"/>
          <w:lang w:val="uk-UA"/>
        </w:rPr>
        <w:t>Послуги з поточного ремонту ліній зовнішнього освітлення по вул.Київська від №255 до № 273д в м. Вознесенськ Миколаївської області</w:t>
      </w:r>
      <w:r>
        <w:rPr>
          <w:rFonts w:cs="Arial"/>
          <w:b/>
          <w:bCs/>
          <w:spacing w:val="4"/>
          <w:lang w:val="uk-UA" w:eastAsia="uk-UA"/>
        </w:rPr>
        <w:t xml:space="preserve"> </w:t>
      </w:r>
      <w:r>
        <w:rPr>
          <w:b/>
          <w:bCs/>
          <w:lang w:val="uk-UA"/>
        </w:rPr>
        <w:t>(ДК 021:2015 – 50230000-6 Послуги з ремонту, технічного обслуговування дорожньої інфраструктури і пов’язаного обладнання та супутні послуги)</w:t>
      </w:r>
      <w:r>
        <w:rPr>
          <w:spacing w:val="4"/>
          <w:lang w:val="uk-UA"/>
        </w:rPr>
        <w:t>.</w:t>
      </w:r>
    </w:p>
    <w:p>
      <w:pPr>
        <w:tabs>
          <w:tab w:val="left" w:pos="426"/>
        </w:tabs>
        <w:ind w:firstLine="709"/>
        <w:jc w:val="both"/>
        <w:rPr>
          <w:highlight w:val="none"/>
        </w:rPr>
      </w:pPr>
      <w:r>
        <w:rPr>
          <w:lang w:val="uk-UA"/>
        </w:rPr>
        <w:t xml:space="preserve">Кількість послуг, яка надається за цим Договором: </w:t>
      </w:r>
      <w:bookmarkStart w:id="12" w:name="_GoBack"/>
      <w:r>
        <w:rPr>
          <w:highlight w:val="none"/>
          <w:lang w:val="uk-UA"/>
        </w:rPr>
        <w:t>згідно Договірної ціни</w:t>
      </w:r>
      <w:r>
        <w:rPr>
          <w:rFonts w:hint="default"/>
          <w:highlight w:val="none"/>
          <w:lang w:val="uk-UA"/>
        </w:rPr>
        <w:t xml:space="preserve"> (</w:t>
      </w:r>
      <w:r>
        <w:rPr>
          <w:rFonts w:hint="default"/>
          <w:b/>
          <w:bCs/>
          <w:highlight w:val="none"/>
          <w:lang w:val="uk-UA"/>
        </w:rPr>
        <w:t>динамічна</w:t>
      </w:r>
      <w:r>
        <w:rPr>
          <w:rFonts w:hint="default"/>
          <w:highlight w:val="none"/>
          <w:lang w:val="uk-UA"/>
        </w:rPr>
        <w:t>)</w:t>
      </w:r>
      <w:r>
        <w:rPr>
          <w:highlight w:val="none"/>
          <w:lang w:val="uk-UA"/>
        </w:rPr>
        <w:t>, яка є Додаток 1 до Договору.</w:t>
      </w:r>
    </w:p>
    <w:bookmarkEnd w:id="12"/>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w:t>
      </w:r>
      <w:r>
        <w:rPr>
          <w:rFonts w:hint="default"/>
          <w:lang w:val="uk-UA"/>
        </w:rPr>
        <w:t>3</w:t>
      </w:r>
      <w:r>
        <w:rPr>
          <w:rFonts w:hint="default"/>
          <w:lang w:val="ru-RU"/>
        </w:rPr>
        <w:t xml:space="preserve"> </w:t>
      </w:r>
      <w:r>
        <w:rPr>
          <w:lang w:val="uk-UA"/>
        </w:rPr>
        <w:t xml:space="preserve">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r>
        <w:rPr>
          <w:lang w:val="uk-UA"/>
        </w:rPr>
        <w:t xml:space="preserve">    </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Pr>
          <w:bCs/>
          <w:color w:val="000000"/>
          <w:sz w:val="24"/>
          <w:szCs w:val="24"/>
          <w:lang w:val="uk-UA"/>
        </w:rPr>
        <w:t xml:space="preserve"> </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w:t>
      </w:r>
      <w:r>
        <w:rPr>
          <w:lang w:val="uk-UA"/>
        </w:rPr>
        <w:t>н</w:t>
      </w:r>
      <w:r>
        <w:t>им Договором,</w:t>
      </w:r>
      <w:r>
        <w:rPr>
          <w:lang w:eastAsia="en-US"/>
        </w:rPr>
        <w:t xml:space="preserve"> становить </w:t>
      </w:r>
      <w:r>
        <w:t>1 (</w:t>
      </w:r>
      <w:r>
        <w:rPr>
          <w:lang w:val="uk-UA"/>
        </w:rPr>
        <w:t>один</w:t>
      </w:r>
      <w:r>
        <w:t>) р</w:t>
      </w:r>
      <w:r>
        <w:rPr>
          <w:lang w:val="uk-UA"/>
        </w:rPr>
        <w:t>і</w:t>
      </w:r>
      <w:r>
        <w:t>к.</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b/>
          <w:sz w:val="24"/>
          <w:szCs w:val="24"/>
          <w:lang w:val="uk-UA"/>
        </w:rPr>
        <w:t xml:space="preserve"> </w:t>
      </w:r>
      <w:r>
        <w:rPr>
          <w:sz w:val="24"/>
          <w:szCs w:val="24"/>
          <w:lang w:val="uk-UA"/>
        </w:rPr>
        <w:t>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bCs w:val="0"/>
          <w:lang w:val="uk-UA"/>
        </w:rPr>
        <w:t>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4.2.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highlight w:val="none"/>
        </w:rPr>
      </w:pPr>
      <w:r>
        <w:rPr>
          <w:lang w:val="uk-UA"/>
        </w:rPr>
        <w:t xml:space="preserve">5.1. Строк надання послуг: </w:t>
      </w:r>
      <w:r>
        <w:rPr>
          <w:b/>
          <w:bCs/>
          <w:i w:val="0"/>
          <w:iCs w:val="0"/>
          <w:highlight w:val="none"/>
          <w:u w:val="none"/>
          <w:lang w:val="uk-UA"/>
        </w:rPr>
        <w:t>червень</w:t>
      </w:r>
      <w:r>
        <w:rPr>
          <w:rFonts w:hint="default"/>
          <w:b/>
          <w:bCs/>
          <w:i w:val="0"/>
          <w:iCs w:val="0"/>
          <w:highlight w:val="none"/>
          <w:u w:val="none"/>
          <w:lang w:val="uk-UA"/>
        </w:rPr>
        <w:t xml:space="preserve"> - липень </w:t>
      </w:r>
      <w:r>
        <w:rPr>
          <w:b/>
          <w:bCs/>
          <w:i w:val="0"/>
          <w:iCs w:val="0"/>
          <w:highlight w:val="none"/>
          <w:u w:val="none"/>
          <w:lang w:val="uk-UA"/>
        </w:rPr>
        <w:t>202</w:t>
      </w:r>
      <w:r>
        <w:rPr>
          <w:rFonts w:hint="default"/>
          <w:b/>
          <w:bCs/>
          <w:i w:val="0"/>
          <w:iCs w:val="0"/>
          <w:highlight w:val="none"/>
          <w:u w:val="none"/>
          <w:lang w:val="uk-UA"/>
        </w:rPr>
        <w:t>3</w:t>
      </w:r>
      <w:r>
        <w:rPr>
          <w:b/>
          <w:bCs/>
          <w:i w:val="0"/>
          <w:iCs w:val="0"/>
          <w:highlight w:val="none"/>
          <w:u w:val="none"/>
          <w:lang w:val="uk-UA"/>
        </w:rPr>
        <w:t xml:space="preserve"> року.</w:t>
      </w:r>
    </w:p>
    <w:p>
      <w:pPr>
        <w:pStyle w:val="42"/>
        <w:jc w:val="both"/>
        <w:rPr>
          <w:i w:val="0"/>
          <w:iCs/>
        </w:rPr>
      </w:pPr>
      <w:r>
        <w:rPr>
          <w:lang w:val="uk-UA"/>
        </w:rPr>
        <w:tab/>
      </w:r>
      <w:r>
        <w:rPr>
          <w:lang w:val="uk-UA"/>
        </w:rPr>
        <w:t xml:space="preserve">5.2. Місце надання послуг: </w:t>
      </w:r>
      <w:r>
        <w:rPr>
          <w:i w:val="0"/>
          <w:iCs/>
          <w:lang w:val="uk-UA"/>
        </w:rPr>
        <w:t>територія Вознесенської міської територіальної громади.</w:t>
      </w:r>
    </w:p>
    <w:p>
      <w:pPr>
        <w:pStyle w:val="42"/>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5.4. Виконавець при наданні послуг повинен застосовувати заходи із захисту довкілля.</w:t>
      </w:r>
    </w:p>
    <w:p>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5.6.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w:t>
      </w:r>
      <w:r>
        <w:rPr>
          <w:caps/>
          <w:sz w:val="22"/>
          <w:szCs w:val="22"/>
        </w:rPr>
        <w:t xml:space="preserve"> </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9"/>
      <w:bookmarkEnd w:id="4"/>
      <w:bookmarkStart w:id="5" w:name="78"/>
      <w:bookmarkEnd w:id="5"/>
      <w:r>
        <w:rPr>
          <w:lang w:val="uk-UA"/>
        </w:rPr>
        <w:t>7.3.2. З</w:t>
      </w:r>
      <w:r>
        <w:rPr>
          <w:spacing w:val="4"/>
          <w:lang w:val="uk-UA"/>
        </w:rPr>
        <w:t>алучати до виконання послуг по даному Договору третіх осіб (субпідрядників)</w:t>
      </w:r>
      <w:r>
        <w:rPr>
          <w:color w:val="FF0000"/>
          <w:spacing w:val="4"/>
          <w:lang w:val="uk-UA"/>
        </w:rPr>
        <w:t xml:space="preserve"> </w:t>
      </w:r>
      <w:r>
        <w:rPr>
          <w:spacing w:val="4"/>
          <w:lang w:val="uk-UA"/>
        </w:rPr>
        <w:t>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color w:val="00000A"/>
          <w:kern w:val="2"/>
          <w:u w:val="none"/>
          <w:lang w:val="uk-UA" w:eastAsia="uk-UA"/>
        </w:rPr>
      </w:pPr>
      <w:r>
        <w:rPr>
          <w:lang w:val="uk-UA"/>
        </w:rPr>
        <w:t>7.4.10. З</w:t>
      </w:r>
      <w:r>
        <w:rPr>
          <w:color w:val="00000A"/>
          <w:kern w:val="2"/>
          <w:lang w:eastAsia="uk-UA"/>
        </w:rPr>
        <w:t xml:space="preserve">абезпечити можливість термінового аварійного відключення мереж зовнішнього освітлення. </w:t>
      </w:r>
      <w:r>
        <w:rPr>
          <w:color w:val="00000A"/>
          <w:kern w:val="2"/>
          <w:u w:val="none"/>
          <w:lang w:eastAsia="uk-UA"/>
        </w:rPr>
        <w:t xml:space="preserve">В разі потреби протягом години виїхати на місце для усунення аварії ситуації (дорожньо-транспортна пригода, стихійне лихо та інші аварійні ситуації). </w:t>
      </w:r>
    </w:p>
    <w:p>
      <w:pPr>
        <w:widowControl w:val="0"/>
        <w:ind w:firstLine="708"/>
        <w:jc w:val="both"/>
        <w:rPr>
          <w:b/>
          <w:color w:val="00000A"/>
          <w:kern w:val="2"/>
          <w:lang w:eastAsia="uk-UA"/>
        </w:rPr>
      </w:pPr>
      <w:r>
        <w:rPr>
          <w:color w:val="00000A"/>
          <w:kern w:val="2"/>
          <w:lang w:val="uk-UA" w:eastAsia="uk-UA"/>
        </w:rPr>
        <w:t xml:space="preserve">7.4.11. </w:t>
      </w:r>
      <w:r>
        <w:rPr>
          <w:color w:val="00000A"/>
          <w:kern w:val="2"/>
          <w:lang w:eastAsia="uk-UA"/>
        </w:rPr>
        <w:t xml:space="preserve">Забезпечити роботу мереж зовнішнього освітлення згідно графіка погодженого з Замовником. </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w:t>
      </w:r>
      <w:r>
        <w:rPr>
          <w:sz w:val="22"/>
          <w:szCs w:val="22"/>
        </w:rPr>
        <w:t xml:space="preserve"> </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Pr>
          <w:rFonts w:hint="default"/>
          <w:b/>
          <w:bCs/>
          <w:color w:val="000000"/>
          <w:lang w:val="uk-UA"/>
        </w:rPr>
        <w:t>3</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hint="default" w:ascii="Times New Roman" w:hAnsi="Times New Roman" w:cs="Times New Roman"/>
          <w:b w:val="0"/>
          <w:bCs w:val="0"/>
        </w:rPr>
      </w:pPr>
      <w:r>
        <w:rPr>
          <w:lang w:val="uk-UA"/>
        </w:rPr>
        <w:tab/>
      </w:r>
      <w:r>
        <w:rPr>
          <w:rStyle w:val="39"/>
          <w:rFonts w:ascii="Times New Roman" w:hAnsi="Times New Roman" w:cs="Times New Roman"/>
          <w:bCs/>
          <w:color w:val="000000"/>
          <w:lang w:val="uk-UA"/>
        </w:rPr>
        <w:t xml:space="preserve">13.2. </w:t>
      </w:r>
      <w:r>
        <w:rPr>
          <w:rStyle w:val="38"/>
          <w:lang w:val="uk-UA"/>
        </w:rPr>
        <w:t>Договір про закупівлю укладається відповідно до вимог п</w:t>
      </w:r>
      <w:r>
        <w:rPr>
          <w:rStyle w:val="38"/>
          <w:rFonts w:hint="default"/>
          <w:lang w:val="uk-UA"/>
        </w:rPr>
        <w:t xml:space="preserve">. 19 </w:t>
      </w:r>
      <w:r>
        <w:rPr>
          <w:rStyle w:val="38"/>
          <w:rFonts w:hint="default"/>
        </w:rPr>
        <w:t>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38"/>
          <w:rFonts w:hint="default"/>
          <w:lang w:val="uk-UA"/>
        </w:rPr>
        <w:t>, а саме:</w:t>
      </w:r>
      <w:bookmarkStart w:id="8" w:name="n576"/>
      <w:bookmarkEnd w:id="8"/>
      <w:bookmarkStart w:id="9" w:name="n577"/>
      <w:bookmarkEnd w:id="9"/>
      <w:bookmarkStart w:id="10" w:name="n578"/>
      <w:bookmarkEnd w:id="10"/>
    </w:p>
    <w:p>
      <w:pPr>
        <w:shd w:val="clear" w:color="auto" w:fill="FFFFFF"/>
        <w:spacing w:before="120"/>
        <w:ind w:firstLine="567"/>
        <w:jc w:val="both"/>
        <w:rPr>
          <w:rFonts w:ascii="Times New Roman" w:hAnsi="Times New Roman"/>
          <w:color w:val="000000"/>
          <w:sz w:val="24"/>
          <w:szCs w:val="24"/>
          <w:highlight w:val="white"/>
          <w:lang w:eastAsia="en-US"/>
        </w:rPr>
      </w:pPr>
      <w:bookmarkStart w:id="11" w:name="n579"/>
      <w:bookmarkEnd w:id="11"/>
      <w:r>
        <w:rPr>
          <w:rFonts w:ascii="Times New Roman" w:hAnsi="Times New Roman"/>
          <w:color w:val="000000"/>
          <w:sz w:val="24"/>
          <w:szCs w:val="24"/>
          <w:highlight w:val="white"/>
          <w:lang w:eastAsia="en-US"/>
        </w:rPr>
        <w:t>Істотні умови договору про закупівлю, укладеного відповідно до</w:t>
      </w:r>
      <w:r>
        <w:rPr>
          <w:rFonts w:ascii="Times New Roman" w:hAnsi="Times New Roman"/>
          <w:color w:val="000000"/>
          <w:sz w:val="24"/>
          <w:szCs w:val="24"/>
          <w:highlight w:val="white"/>
          <w:lang w:eastAsia="en-US"/>
        </w:rPr>
        <w:br w:type="textWrapping"/>
      </w:r>
      <w:r>
        <w:rPr>
          <w:rFonts w:ascii="Times New Roman" w:hAnsi="Times New Roman"/>
          <w:color w:val="000000"/>
          <w:sz w:val="24"/>
          <w:szCs w:val="24"/>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br w:type="textWrapping"/>
      </w:r>
      <w:r>
        <w:rPr>
          <w:rFonts w:ascii="Times New Roman" w:hAnsi="Times New Roman"/>
          <w:color w:val="000000"/>
          <w:sz w:val="24"/>
          <w:szCs w:val="24"/>
          <w:highlight w:val="white"/>
          <w:lang w:eastAsia="en-US"/>
        </w:rPr>
        <w:t>статті 41 Закону.</w:t>
      </w:r>
    </w:p>
    <w:p>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4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00" w:firstLineChars="250"/>
        <w:jc w:val="both"/>
        <w:textAlignment w:val="baseline"/>
        <w:rPr>
          <w:sz w:val="24"/>
          <w:szCs w:val="24"/>
        </w:rPr>
      </w:pPr>
    </w:p>
    <w:p>
      <w:pPr>
        <w:pStyle w:val="42"/>
        <w:jc w:val="both"/>
        <w:rPr>
          <w:kern w:val="2"/>
          <w:sz w:val="24"/>
          <w:szCs w:val="24"/>
          <w:lang w:val="uk-UA"/>
        </w:rPr>
      </w:pPr>
      <w:r>
        <w:rPr>
          <w:rFonts w:ascii="Times New Roman" w:hAnsi="Times New Roman" w:cs="Times New Roman"/>
          <w:color w:val="000000"/>
          <w:sz w:val="24"/>
          <w:szCs w:val="24"/>
          <w:lang w:val="uk-UA"/>
        </w:rPr>
        <w:tab/>
      </w:r>
    </w:p>
    <w:p>
      <w:pPr>
        <w:pStyle w:val="42"/>
        <w:jc w:val="center"/>
      </w:pPr>
      <w:r>
        <w:rPr>
          <w:b/>
          <w:lang w:val="uk-UA"/>
        </w:rPr>
        <w:t>ХІ</w:t>
      </w:r>
      <w:r>
        <w:rPr>
          <w:b/>
          <w:lang w:val="en-US"/>
        </w:rPr>
        <w:t>V</w:t>
      </w:r>
      <w:r>
        <w:rPr>
          <w:b/>
          <w:lang w:val="uk-UA"/>
        </w:rPr>
        <w:t>. ДОДАТКИ ДО ДОГОВОРУ</w:t>
      </w:r>
    </w:p>
    <w:p>
      <w:pPr>
        <w:pStyle w:val="42"/>
        <w:ind w:firstLine="720"/>
        <w:jc w:val="both"/>
      </w:pPr>
      <w:r>
        <w:rPr>
          <w:rFonts w:hint="default"/>
          <w:lang w:val="uk-UA"/>
        </w:rPr>
        <w:t xml:space="preserve">14.1. </w:t>
      </w:r>
      <w:r>
        <w:rPr>
          <w:lang w:val="uk-UA"/>
        </w:rPr>
        <w:t>Невід'ємною частиною цього Договору є:</w:t>
      </w:r>
    </w:p>
    <w:p>
      <w:pPr>
        <w:pStyle w:val="42"/>
        <w:numPr>
          <w:ilvl w:val="0"/>
          <w:numId w:val="1"/>
        </w:numPr>
        <w:jc w:val="both"/>
      </w:pPr>
      <w:r>
        <w:rPr>
          <w:lang w:val="uk-UA"/>
        </w:rPr>
        <w:t>Додаток 1 «Договірна ціна».</w:t>
      </w:r>
    </w:p>
    <w:p>
      <w:pPr>
        <w:pStyle w:val="42"/>
        <w:numPr>
          <w:ilvl w:val="0"/>
          <w:numId w:val="1"/>
        </w:numPr>
        <w:jc w:val="both"/>
      </w:pP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56500</w:t>
            </w:r>
            <w:r>
              <w:t xml:space="preserve"> </w:t>
            </w:r>
            <w:r>
              <w:rPr>
                <w:lang w:val="uk-UA"/>
              </w:rPr>
              <w:t xml:space="preserve">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rPr>
                <w:b/>
                <w:bCs/>
                <w:i/>
                <w:lang w:val="uk-UA"/>
              </w:rPr>
            </w:pPr>
            <w:r>
              <w:rPr>
                <w:b/>
                <w:bCs/>
                <w:i/>
                <w:lang w:val="uk-UA"/>
              </w:rPr>
              <w:t>___</w:t>
            </w:r>
            <w:r>
              <w:rPr>
                <w:rFonts w:hint="default"/>
                <w:b/>
                <w:bCs/>
                <w:i/>
                <w:lang w:val="uk-UA"/>
              </w:rPr>
              <w:t>___</w:t>
            </w:r>
            <w:r>
              <w:rPr>
                <w:b/>
                <w:bCs/>
                <w:i/>
                <w:lang w:val="uk-UA"/>
              </w:rPr>
              <w:t>________</w:t>
            </w:r>
            <w:r>
              <w:rPr>
                <w:rFonts w:hint="default"/>
                <w:b/>
                <w:bCs/>
                <w:i/>
                <w:lang w:val="ru-RU"/>
              </w:rPr>
              <w:t>__</w:t>
            </w:r>
            <w:r>
              <w:rPr>
                <w:b/>
                <w:bCs/>
                <w:i/>
                <w:lang w:val="uk-UA"/>
              </w:rPr>
              <w:t>__</w:t>
            </w:r>
          </w:p>
          <w:p>
            <w:pPr>
              <w:pStyle w:val="42"/>
              <w:jc w:val="both"/>
              <w:rPr>
                <w:b/>
                <w:bCs/>
                <w:i/>
                <w:lang w:val="uk-UA"/>
              </w:rPr>
            </w:pPr>
          </w:p>
          <w:p>
            <w:pPr>
              <w:pStyle w:val="42"/>
              <w:jc w:val="both"/>
            </w:pPr>
            <w:r>
              <w:rPr>
                <w:b/>
                <w:bCs/>
                <w:i/>
                <w:lang w:val="uk-UA"/>
              </w:rPr>
              <w:t>________________</w:t>
            </w:r>
            <w:r>
              <w:rPr>
                <w:b/>
                <w:bCs/>
                <w:lang w:val="uk-UA"/>
              </w:rPr>
              <w:t>/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r>
              <w:rPr>
                <w:bCs/>
                <w:lang w:val="uk-UA"/>
              </w:rPr>
              <w:t xml:space="preserve"> </w:t>
            </w:r>
          </w:p>
        </w:tc>
      </w:tr>
    </w:tbl>
    <w:p>
      <w:pPr>
        <w:pStyle w:val="42"/>
        <w:pageBreakBefore/>
        <w:jc w:val="right"/>
        <w:rPr>
          <w:lang w:val="uk-UA"/>
        </w:rPr>
      </w:pPr>
      <w:r>
        <w:rPr>
          <w:rFonts w:ascii="Times New Roman" w:hAnsi="Times New Roman" w:cs="Times New Roman"/>
          <w:lang w:val="uk-UA"/>
        </w:rPr>
        <w:t>Додаток №2</w:t>
      </w:r>
    </w:p>
    <w:p>
      <w:pPr>
        <w:pStyle w:val="42"/>
        <w:jc w:val="right"/>
        <w:rPr>
          <w:lang w:val="uk-UA"/>
        </w:rPr>
      </w:pPr>
      <w:r>
        <w:rPr>
          <w:rFonts w:ascii="Times New Roman" w:hAnsi="Times New Roman" w:cs="Times New Roman"/>
          <w:lang w:val="uk-UA"/>
        </w:rPr>
        <w:t xml:space="preserve">                                                                                                 до Договору № _______</w:t>
      </w:r>
    </w:p>
    <w:p>
      <w:pPr>
        <w:pStyle w:val="42"/>
        <w:jc w:val="right"/>
        <w:rPr>
          <w:lang w:val="uk-UA"/>
        </w:rPr>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rPr>
          <w:lang w:val="uk-UA"/>
        </w:rPr>
      </w:pPr>
      <w:r>
        <w:rPr>
          <w:rFonts w:ascii="Times New Roman" w:hAnsi="Times New Roman" w:cs="Times New Roman"/>
          <w:b/>
          <w:lang w:val="uk-UA"/>
        </w:rPr>
        <w:t xml:space="preserve">                                                                                                 </w:t>
      </w: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highlight w:val="none"/>
          <w:lang w:val="uk-UA"/>
        </w:rPr>
      </w:pPr>
      <w:r>
        <w:rPr>
          <w:lang w:val="uk-UA"/>
        </w:rPr>
        <w:t xml:space="preserve">на </w:t>
      </w:r>
      <w:r>
        <w:rPr>
          <w:b/>
          <w:lang w:val="uk-UA"/>
        </w:rPr>
        <w:t xml:space="preserve"> </w:t>
      </w:r>
      <w:r>
        <w:rPr>
          <w:rFonts w:hint="default" w:ascii="Times New Roman" w:hAnsi="Times New Roman" w:cs="Times New Roman"/>
          <w:b/>
          <w:bCs/>
          <w:spacing w:val="-3"/>
          <w:sz w:val="24"/>
          <w:szCs w:val="24"/>
          <w:lang w:val="uk-UA"/>
        </w:rPr>
        <w:t>Послуги з поточного ремонту ліній зовнішнього освітлення по вул.Київська від №255 до № 273д в м. Вознесенськ Миколаївської області</w:t>
      </w:r>
      <w:r>
        <w:rPr>
          <w:highlight w:val="none"/>
          <w:lang w:val="uk-UA"/>
        </w:rPr>
        <w:t xml:space="preserve"> (ДК 021:2015 – </w:t>
      </w:r>
      <w:r>
        <w:rPr>
          <w:b/>
          <w:bCs/>
          <w:spacing w:val="4"/>
          <w:highlight w:val="none"/>
          <w:lang w:val="uk-UA"/>
        </w:rPr>
        <w:t xml:space="preserve"> </w:t>
      </w:r>
      <w:r>
        <w:rPr>
          <w:highlight w:val="none"/>
          <w:lang w:val="uk-UA"/>
        </w:rPr>
        <w:t xml:space="preserve">50230000-6 Послуги з ремонту, технічного обслуговування дорожньої інфраструктури і пов’язаного обладнання та </w:t>
      </w:r>
    </w:p>
    <w:p>
      <w:pPr>
        <w:jc w:val="center"/>
        <w:rPr>
          <w:highlight w:val="none"/>
          <w:lang w:val="uk-UA"/>
        </w:rPr>
      </w:pPr>
      <w:r>
        <w:rPr>
          <w:highlight w:val="none"/>
          <w:lang w:val="uk-UA"/>
        </w:rPr>
        <w:t>супутні послуги)</w:t>
      </w:r>
    </w:p>
    <w:tbl>
      <w:tblPr>
        <w:tblStyle w:val="3"/>
        <w:tblW w:w="0" w:type="auto"/>
        <w:tblInd w:w="55" w:type="dxa"/>
        <w:tblLayout w:type="fixed"/>
        <w:tblCellMar>
          <w:top w:w="55" w:type="dxa"/>
          <w:left w:w="55" w:type="dxa"/>
          <w:bottom w:w="55" w:type="dxa"/>
          <w:right w:w="55" w:type="dxa"/>
        </w:tblCellMar>
      </w:tblPr>
      <w:tblGrid>
        <w:gridCol w:w="855"/>
        <w:gridCol w:w="3510"/>
        <w:gridCol w:w="1447"/>
        <w:gridCol w:w="1559"/>
        <w:gridCol w:w="1843"/>
      </w:tblGrid>
      <w:tr>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Найменування послуг</w:t>
            </w:r>
          </w:p>
        </w:tc>
        <w:tc>
          <w:tcPr>
            <w:tcW w:w="1447"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Початок виконання послуг</w:t>
            </w:r>
          </w:p>
          <w:p>
            <w:pPr>
              <w:pStyle w:val="12"/>
              <w:spacing w:line="276" w:lineRule="auto"/>
              <w:jc w:val="center"/>
              <w:rPr>
                <w:rFonts w:ascii="Times New Roman" w:hAnsi="Times New Roman" w:cs="Times New Roman"/>
                <w:b/>
                <w:sz w:val="24"/>
                <w:szCs w:val="24"/>
                <w:highlight w:val="none"/>
              </w:rPr>
            </w:pPr>
          </w:p>
        </w:tc>
        <w:tc>
          <w:tcPr>
            <w:tcW w:w="1559"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Завершення виконання послуг</w:t>
            </w:r>
          </w:p>
        </w:tc>
        <w:tc>
          <w:tcPr>
            <w:tcW w:w="1843"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Вартість грн.</w:t>
            </w: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sz w:val="24"/>
                <w:szCs w:val="24"/>
                <w:highlight w:val="none"/>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spacing w:val="4"/>
                <w:highlight w:val="none"/>
                <w:lang w:val="uk-UA" w:eastAsia="uk-UA"/>
              </w:rPr>
            </w:pPr>
            <w:r>
              <w:rPr>
                <w:rFonts w:hint="default" w:ascii="Times New Roman" w:hAnsi="Times New Roman" w:cs="Times New Roman"/>
                <w:b/>
                <w:bCs/>
                <w:spacing w:val="-3"/>
                <w:sz w:val="24"/>
                <w:szCs w:val="24"/>
                <w:lang w:val="uk-UA"/>
              </w:rPr>
              <w:t>Послуги з поточного ремонту ліній зовнішнього освітлення по вул.Київська від №255 до № 273д в м. Вознесенськ Миколаївської області</w:t>
            </w:r>
            <w:r>
              <w:rPr>
                <w:spacing w:val="4"/>
                <w:highlight w:val="none"/>
                <w:lang w:val="uk-UA" w:eastAsia="uk-U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highlight w:val="none"/>
                <w:lang w:val="uk-UA"/>
              </w:rPr>
            </w:pPr>
            <w:r>
              <w:rPr>
                <w:spacing w:val="4"/>
                <w:highlight w:val="none"/>
                <w:lang w:val="uk-UA" w:eastAsia="uk-UA"/>
              </w:rPr>
              <w:t>(ДК код 2015 - 50230000-6 Послуги з ремонту, технічного обслуговування дорожньої інфраструктури і пов’язаного обладнання та супутні послуги)</w:t>
            </w:r>
          </w:p>
        </w:tc>
        <w:tc>
          <w:tcPr>
            <w:tcW w:w="1447" w:type="dxa"/>
            <w:tcBorders>
              <w:left w:val="single" w:color="000000" w:sz="4" w:space="0"/>
              <w:bottom w:val="single" w:color="000000" w:sz="4" w:space="0"/>
            </w:tcBorders>
            <w:shd w:val="clear" w:color="auto" w:fill="auto"/>
          </w:tcPr>
          <w:p>
            <w:pPr>
              <w:pStyle w:val="12"/>
              <w:spacing w:line="276" w:lineRule="auto"/>
              <w:jc w:val="center"/>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Червень</w:t>
            </w:r>
          </w:p>
          <w:p>
            <w:pPr>
              <w:pStyle w:val="12"/>
              <w:spacing w:line="276" w:lineRule="auto"/>
              <w:jc w:val="center"/>
              <w:rPr>
                <w:highlight w:val="none"/>
              </w:rPr>
            </w:pPr>
            <w:r>
              <w:rPr>
                <w:rFonts w:hint="default" w:ascii="Times New Roman" w:hAnsi="Times New Roman" w:cs="Times New Roman"/>
                <w:sz w:val="24"/>
                <w:szCs w:val="24"/>
                <w:highlight w:val="none"/>
                <w:lang w:val="uk-UA"/>
              </w:rPr>
              <w:t xml:space="preserve"> </w:t>
            </w:r>
            <w:r>
              <w:rPr>
                <w:rFonts w:ascii="Times New Roman" w:hAnsi="Times New Roman" w:cs="Times New Roman"/>
                <w:sz w:val="24"/>
                <w:szCs w:val="24"/>
                <w:highlight w:val="none"/>
              </w:rPr>
              <w:t>202</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rPr>
              <w:t xml:space="preserve"> р.</w:t>
            </w:r>
          </w:p>
          <w:p>
            <w:pPr>
              <w:pStyle w:val="12"/>
              <w:spacing w:line="276" w:lineRule="auto"/>
              <w:jc w:val="center"/>
              <w:rPr>
                <w:highlight w:val="none"/>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none"/>
              </w:rPr>
            </w:pPr>
          </w:p>
        </w:tc>
        <w:tc>
          <w:tcPr>
            <w:tcW w:w="1559" w:type="dxa"/>
            <w:tcBorders>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sz w:val="24"/>
                <w:szCs w:val="24"/>
                <w:highlight w:val="none"/>
                <w:lang w:val="uk-UA"/>
              </w:rPr>
              <w:t>Липень</w:t>
            </w:r>
            <w:r>
              <w:rPr>
                <w:rFonts w:ascii="Times New Roman" w:hAnsi="Times New Roman" w:cs="Times New Roman"/>
                <w:sz w:val="24"/>
                <w:szCs w:val="24"/>
                <w:highlight w:val="none"/>
              </w:rPr>
              <w:t xml:space="preserve"> </w:t>
            </w:r>
          </w:p>
          <w:p>
            <w:pPr>
              <w:pStyle w:val="12"/>
              <w:spacing w:line="276" w:lineRule="auto"/>
              <w:jc w:val="center"/>
              <w:rPr>
                <w:highlight w:val="none"/>
              </w:rPr>
            </w:pPr>
            <w:r>
              <w:rPr>
                <w:rFonts w:ascii="Times New Roman" w:hAnsi="Times New Roman" w:cs="Times New Roman"/>
                <w:sz w:val="24"/>
                <w:szCs w:val="24"/>
                <w:highlight w:val="none"/>
              </w:rPr>
              <w:t>202</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rPr>
              <w:t xml:space="preserve"> р.</w:t>
            </w: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none"/>
              </w:rPr>
            </w:pPr>
            <w:r>
              <w:rPr>
                <w:highlight w:val="none"/>
                <w:lang w:val="uk-UA"/>
              </w:rPr>
              <w:t xml:space="preserve"> </w:t>
            </w:r>
          </w:p>
        </w:tc>
        <w:tc>
          <w:tcPr>
            <w:tcW w:w="1843" w:type="dxa"/>
            <w:tcBorders>
              <w:left w:val="single" w:color="000000" w:sz="4" w:space="0"/>
              <w:bottom w:val="single" w:color="000000" w:sz="4" w:space="0"/>
              <w:right w:val="single" w:color="auto" w:sz="4" w:space="0"/>
            </w:tcBorders>
            <w:shd w:val="clear" w:color="auto" w:fill="auto"/>
          </w:tcPr>
          <w:p>
            <w:pPr>
              <w:pStyle w:val="12"/>
              <w:spacing w:line="276" w:lineRule="auto"/>
              <w:jc w:val="center"/>
              <w:rPr>
                <w:highlight w:val="none"/>
              </w:rPr>
            </w:pPr>
            <w:r>
              <w:rPr>
                <w:rFonts w:ascii="Times New Roman" w:hAnsi="Times New Roman" w:cs="Times New Roman"/>
                <w:bCs/>
                <w:sz w:val="24"/>
                <w:szCs w:val="24"/>
                <w:highlight w:val="none"/>
              </w:rPr>
              <w:t xml:space="preserve"> </w:t>
            </w:r>
          </w:p>
          <w:p>
            <w:pPr>
              <w:pStyle w:val="12"/>
              <w:spacing w:line="276" w:lineRule="auto"/>
              <w:jc w:val="center"/>
              <w:rPr>
                <w:rFonts w:ascii="Times New Roman" w:hAnsi="Times New Roman" w:cs="Times New Roman"/>
                <w:bCs/>
                <w:sz w:val="24"/>
                <w:szCs w:val="24"/>
                <w:highlight w:val="none"/>
              </w:rPr>
            </w:pP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1447" w:type="dxa"/>
            <w:tcBorders>
              <w:left w:val="single" w:color="000000" w:sz="4" w:space="0"/>
              <w:bottom w:val="single" w:color="000000" w:sz="4" w:space="0"/>
            </w:tcBorders>
            <w:shd w:val="clear" w:color="auto" w:fill="auto"/>
          </w:tcPr>
          <w:p>
            <w:pPr>
              <w:pStyle w:val="44"/>
              <w:snapToGrid w:val="0"/>
            </w:pPr>
          </w:p>
        </w:tc>
        <w:tc>
          <w:tcPr>
            <w:tcW w:w="1559" w:type="dxa"/>
            <w:tcBorders>
              <w:left w:val="single" w:color="000000" w:sz="4" w:space="0"/>
              <w:bottom w:val="single" w:color="000000" w:sz="4" w:space="0"/>
            </w:tcBorders>
            <w:shd w:val="clear" w:color="auto" w:fill="auto"/>
          </w:tcPr>
          <w:p>
            <w:pPr>
              <w:pStyle w:val="44"/>
              <w:snapToGrid w:val="0"/>
            </w:pPr>
          </w:p>
        </w:tc>
        <w:tc>
          <w:tcPr>
            <w:tcW w:w="1843" w:type="dxa"/>
            <w:tcBorders>
              <w:left w:val="single" w:color="000000" w:sz="4" w:space="0"/>
              <w:bottom w:val="single" w:color="000000" w:sz="4" w:space="0"/>
              <w:right w:val="single" w:color="auto" w:sz="4" w:space="0"/>
            </w:tcBorders>
            <w:shd w:val="clear" w:color="auto" w:fill="auto"/>
          </w:tcPr>
          <w:p>
            <w:pPr>
              <w:pStyle w:val="44"/>
              <w:snapToGrid w:val="0"/>
              <w:jc w:val="center"/>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rPr>
                <w:lang w:val="uk-UA"/>
              </w:rPr>
            </w:pPr>
          </w:p>
          <w:p>
            <w:pPr>
              <w:pStyle w:val="42"/>
              <w:jc w:val="both"/>
              <w:rPr>
                <w:lang w:val="uk-UA"/>
              </w:rPr>
            </w:pPr>
          </w:p>
          <w:p>
            <w:pPr>
              <w:pStyle w:val="42"/>
              <w:jc w:val="both"/>
            </w:pPr>
            <w:r>
              <w:rPr>
                <w:b/>
                <w:lang w:val="uk-UA"/>
              </w:rPr>
              <w:t>___________</w:t>
            </w:r>
            <w:r>
              <w:rPr>
                <w:rFonts w:hint="default"/>
                <w:b/>
                <w:lang w:val="uk-UA"/>
              </w:rPr>
              <w:t>____</w:t>
            </w:r>
            <w:r>
              <w:rPr>
                <w:b/>
                <w:lang w:val="uk-UA"/>
              </w:rPr>
              <w:t xml:space="preserve">___ </w:t>
            </w:r>
          </w:p>
          <w:p>
            <w:pPr>
              <w:pStyle w:val="42"/>
              <w:jc w:val="both"/>
              <w:rPr>
                <w:b/>
                <w:bCs/>
                <w:i/>
                <w:lang w:val="uk-UA"/>
              </w:rPr>
            </w:pPr>
          </w:p>
          <w:p>
            <w:pPr>
              <w:pStyle w:val="42"/>
              <w:jc w:val="both"/>
            </w:pPr>
            <w:r>
              <w:rPr>
                <w:b/>
                <w:bCs/>
                <w:i/>
                <w:lang w:val="uk-UA"/>
              </w:rPr>
              <w:t>________________</w:t>
            </w:r>
            <w:r>
              <w:rPr>
                <w:b/>
                <w:bCs/>
                <w:lang w:val="uk-UA"/>
              </w:rPr>
              <w:t>/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rPr>
                <w:bCs/>
                <w:lang w:val="en-US"/>
              </w:rPr>
            </w:pPr>
          </w:p>
          <w:p>
            <w:pPr>
              <w:pStyle w:val="42"/>
              <w:jc w:val="both"/>
              <w:rPr>
                <w:bCs/>
                <w:lang w:val="en-US"/>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r>
              <w:rPr>
                <w:bCs/>
                <w:lang w:val="uk-UA"/>
              </w:rPr>
              <w:t xml:space="preserve"> </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993"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6</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0"/>
        </w:tabs>
        <w:ind w:left="1080" w:hanging="360"/>
      </w:pPr>
      <w:rPr>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11703"/>
    <w:rsid w:val="000D4A04"/>
    <w:rsid w:val="001444AB"/>
    <w:rsid w:val="001745BE"/>
    <w:rsid w:val="001B62B0"/>
    <w:rsid w:val="001C5EB8"/>
    <w:rsid w:val="00232136"/>
    <w:rsid w:val="0024596F"/>
    <w:rsid w:val="0025419A"/>
    <w:rsid w:val="00254FD9"/>
    <w:rsid w:val="00275E22"/>
    <w:rsid w:val="002E5F8E"/>
    <w:rsid w:val="0039626D"/>
    <w:rsid w:val="004825F4"/>
    <w:rsid w:val="004854B8"/>
    <w:rsid w:val="004D2A06"/>
    <w:rsid w:val="005202F6"/>
    <w:rsid w:val="00584775"/>
    <w:rsid w:val="005A5776"/>
    <w:rsid w:val="005C5289"/>
    <w:rsid w:val="005E0257"/>
    <w:rsid w:val="00656447"/>
    <w:rsid w:val="00665AC9"/>
    <w:rsid w:val="006D548D"/>
    <w:rsid w:val="006E7119"/>
    <w:rsid w:val="007B0DFA"/>
    <w:rsid w:val="007B2B34"/>
    <w:rsid w:val="00885300"/>
    <w:rsid w:val="008856E9"/>
    <w:rsid w:val="009B5688"/>
    <w:rsid w:val="00A324D1"/>
    <w:rsid w:val="00AE1EE1"/>
    <w:rsid w:val="00AF116C"/>
    <w:rsid w:val="00B36193"/>
    <w:rsid w:val="00B70A98"/>
    <w:rsid w:val="00CC61DE"/>
    <w:rsid w:val="00CD79E2"/>
    <w:rsid w:val="00D129C9"/>
    <w:rsid w:val="00D22117"/>
    <w:rsid w:val="00DA22A9"/>
    <w:rsid w:val="00E33C59"/>
    <w:rsid w:val="00E939F7"/>
    <w:rsid w:val="00EC3390"/>
    <w:rsid w:val="00EE1D84"/>
    <w:rsid w:val="00F05044"/>
    <w:rsid w:val="00F8396F"/>
    <w:rsid w:val="00FC146E"/>
    <w:rsid w:val="0226393C"/>
    <w:rsid w:val="03314DFF"/>
    <w:rsid w:val="059960DD"/>
    <w:rsid w:val="08DE3713"/>
    <w:rsid w:val="093C39DF"/>
    <w:rsid w:val="09FF4371"/>
    <w:rsid w:val="0C8D626F"/>
    <w:rsid w:val="0E4B63E2"/>
    <w:rsid w:val="11477335"/>
    <w:rsid w:val="11AF7E92"/>
    <w:rsid w:val="127F4C8E"/>
    <w:rsid w:val="12AF5192"/>
    <w:rsid w:val="142F10FB"/>
    <w:rsid w:val="143A0A8B"/>
    <w:rsid w:val="17FE1DD0"/>
    <w:rsid w:val="1870584C"/>
    <w:rsid w:val="1A8707A2"/>
    <w:rsid w:val="1C1B5646"/>
    <w:rsid w:val="1DF50EB0"/>
    <w:rsid w:val="1F687F48"/>
    <w:rsid w:val="20C444FE"/>
    <w:rsid w:val="21DB5C79"/>
    <w:rsid w:val="237815D0"/>
    <w:rsid w:val="238B1FA1"/>
    <w:rsid w:val="24535DC4"/>
    <w:rsid w:val="261A696E"/>
    <w:rsid w:val="26461511"/>
    <w:rsid w:val="26F42F15"/>
    <w:rsid w:val="284877C3"/>
    <w:rsid w:val="289D5DA4"/>
    <w:rsid w:val="291D5E89"/>
    <w:rsid w:val="29891A4E"/>
    <w:rsid w:val="29FD49CA"/>
    <w:rsid w:val="2B6C7C6C"/>
    <w:rsid w:val="2BC52ED8"/>
    <w:rsid w:val="2CB573F1"/>
    <w:rsid w:val="2CFE0B43"/>
    <w:rsid w:val="2E821EF6"/>
    <w:rsid w:val="306F3A8C"/>
    <w:rsid w:val="3372413B"/>
    <w:rsid w:val="35753BC1"/>
    <w:rsid w:val="35AA6C47"/>
    <w:rsid w:val="36B44275"/>
    <w:rsid w:val="37DC6DB9"/>
    <w:rsid w:val="385901D3"/>
    <w:rsid w:val="38C85737"/>
    <w:rsid w:val="3AF9661E"/>
    <w:rsid w:val="3B1932D4"/>
    <w:rsid w:val="3B595665"/>
    <w:rsid w:val="3BDB4405"/>
    <w:rsid w:val="3C105572"/>
    <w:rsid w:val="3C5C33E5"/>
    <w:rsid w:val="3CE37662"/>
    <w:rsid w:val="3DF37A55"/>
    <w:rsid w:val="3E175815"/>
    <w:rsid w:val="410B7187"/>
    <w:rsid w:val="43C024AB"/>
    <w:rsid w:val="45684BA8"/>
    <w:rsid w:val="457E5EB5"/>
    <w:rsid w:val="47356950"/>
    <w:rsid w:val="48147269"/>
    <w:rsid w:val="48CC411E"/>
    <w:rsid w:val="48D52AE9"/>
    <w:rsid w:val="4A0250DD"/>
    <w:rsid w:val="4A471230"/>
    <w:rsid w:val="4A801591"/>
    <w:rsid w:val="4B076C12"/>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17CAD"/>
    <w:rsid w:val="582D2588"/>
    <w:rsid w:val="58704048"/>
    <w:rsid w:val="5900361E"/>
    <w:rsid w:val="596A6F4A"/>
    <w:rsid w:val="59C26B25"/>
    <w:rsid w:val="59D27B1C"/>
    <w:rsid w:val="59FB421C"/>
    <w:rsid w:val="5ABA7716"/>
    <w:rsid w:val="5D3E2967"/>
    <w:rsid w:val="5EA00247"/>
    <w:rsid w:val="6260512D"/>
    <w:rsid w:val="62C820C4"/>
    <w:rsid w:val="645667E8"/>
    <w:rsid w:val="65576FE6"/>
    <w:rsid w:val="67DC5256"/>
    <w:rsid w:val="684E77D6"/>
    <w:rsid w:val="6C202208"/>
    <w:rsid w:val="6C501D6F"/>
    <w:rsid w:val="6C774F51"/>
    <w:rsid w:val="6DE45ECC"/>
    <w:rsid w:val="6EFA44A2"/>
    <w:rsid w:val="6F885CC3"/>
    <w:rsid w:val="6F9C52CB"/>
    <w:rsid w:val="70FE3572"/>
    <w:rsid w:val="72E15E16"/>
    <w:rsid w:val="73601F70"/>
    <w:rsid w:val="745A26E4"/>
    <w:rsid w:val="754D1541"/>
    <w:rsid w:val="75EA4FE2"/>
    <w:rsid w:val="764741E2"/>
    <w:rsid w:val="772F38F9"/>
    <w:rsid w:val="785D2852"/>
    <w:rsid w:val="7AA02113"/>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7</Pages>
  <Words>14021</Words>
  <Characters>7993</Characters>
  <Lines>66</Lines>
  <Paragraphs>43</Paragraphs>
  <TotalTime>2</TotalTime>
  <ScaleCrop>false</ScaleCrop>
  <LinksUpToDate>false</LinksUpToDate>
  <CharactersWithSpaces>21971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2023-05-24T06:48:11Z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FF1DA0EE17AF445BABAA0528B8AD0DAE</vt:lpwstr>
  </property>
</Properties>
</file>