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bookmarkStart w:id="0" w:name="_GoBack"/>
      <w:bookmarkEnd w:id="0"/>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EF335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EF335A" w:rsidTr="00C049E4">
        <w:trPr>
          <w:trHeight w:val="416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E52" w:rsidRDefault="00615E52" w:rsidP="00615E52">
            <w:pPr>
              <w:pStyle w:val="afc"/>
              <w:jc w:val="both"/>
              <w:rPr>
                <w:rFonts w:ascii="Times New Roman" w:hAnsi="Times New Roman"/>
                <w:color w:val="000000" w:themeColor="text1"/>
                <w:sz w:val="20"/>
                <w:szCs w:val="20"/>
                <w:lang w:eastAsia="uk-UA"/>
              </w:rPr>
            </w:pPr>
            <w:r w:rsidRPr="00615E52">
              <w:rPr>
                <w:rFonts w:ascii="Times New Roman" w:hAnsi="Times New Roman"/>
                <w:color w:val="000000" w:themeColor="text1"/>
                <w:sz w:val="20"/>
                <w:szCs w:val="20"/>
                <w:lang w:eastAsia="uk-UA"/>
              </w:rPr>
              <w:t xml:space="preserve">1.1. </w:t>
            </w:r>
            <w:r>
              <w:rPr>
                <w:rFonts w:ascii="Times New Roman" w:hAnsi="Times New Roman"/>
                <w:color w:val="000000" w:themeColor="text1"/>
                <w:sz w:val="20"/>
                <w:szCs w:val="20"/>
                <w:lang w:eastAsia="uk-UA"/>
              </w:rPr>
              <w:t>Н</w:t>
            </w:r>
            <w:r w:rsidRPr="00615E52">
              <w:rPr>
                <w:rFonts w:ascii="Times New Roman" w:hAnsi="Times New Roman"/>
                <w:color w:val="000000" w:themeColor="text1"/>
                <w:sz w:val="20"/>
                <w:szCs w:val="20"/>
                <w:lang w:eastAsia="uk-UA"/>
              </w:rPr>
              <w:t xml:space="preserve">аявність обладнання та матеріально-технічної бази, які будуть використовуватися при </w:t>
            </w:r>
            <w:r>
              <w:rPr>
                <w:rFonts w:ascii="Times New Roman" w:hAnsi="Times New Roman"/>
                <w:color w:val="000000" w:themeColor="text1"/>
                <w:sz w:val="20"/>
                <w:szCs w:val="20"/>
                <w:lang w:eastAsia="uk-UA"/>
              </w:rPr>
              <w:t>наданні послуг</w:t>
            </w:r>
            <w:r w:rsidRPr="00615E52">
              <w:rPr>
                <w:rFonts w:ascii="Times New Roman" w:hAnsi="Times New Roman"/>
                <w:color w:val="000000" w:themeColor="text1"/>
                <w:sz w:val="20"/>
                <w:szCs w:val="20"/>
                <w:lang w:eastAsia="uk-UA"/>
              </w:rPr>
              <w:t xml:space="preserve">, відповідно до технічних вимог цього предмета закупівлі. </w:t>
            </w:r>
          </w:p>
          <w:p w:rsidR="00615E52" w:rsidRPr="00615E52" w:rsidRDefault="00615E52" w:rsidP="00615E52">
            <w:pPr>
              <w:pStyle w:val="afc"/>
              <w:jc w:val="both"/>
              <w:rPr>
                <w:rFonts w:ascii="Times New Roman" w:hAnsi="Times New Roman"/>
                <w:color w:val="000000" w:themeColor="text1"/>
                <w:sz w:val="20"/>
                <w:szCs w:val="20"/>
              </w:rPr>
            </w:pPr>
            <w:r w:rsidRPr="00615E52">
              <w:rPr>
                <w:rFonts w:ascii="Times New Roman" w:hAnsi="Times New Roman"/>
                <w:color w:val="000000" w:themeColor="text1"/>
                <w:sz w:val="20"/>
                <w:szCs w:val="20"/>
                <w:lang w:eastAsia="uk-UA"/>
              </w:rPr>
              <w:t>У випадку якщо матеріально-технічна база чи обладнання орендовані - сканкопії договорів оренди, якщо будуть використовуватися відповідно до договорів про надання послуг, лізингу, тимчасового користування та інших – сканкопії таких договорів з оригіналів. Сканкопії названих документів повинні містити всі сторінки і бути чіткими.)</w:t>
            </w:r>
            <w:r>
              <w:rPr>
                <w:rFonts w:ascii="Times New Roman" w:hAnsi="Times New Roman"/>
                <w:color w:val="000000" w:themeColor="text1"/>
                <w:sz w:val="20"/>
                <w:szCs w:val="20"/>
              </w:rPr>
              <w:t>.</w:t>
            </w:r>
          </w:p>
          <w:p w:rsidR="00C8487A" w:rsidRPr="00615E52" w:rsidRDefault="00C8487A" w:rsidP="00EF335A">
            <w:pPr>
              <w:pStyle w:val="a6"/>
              <w:ind w:left="0"/>
              <w:jc w:val="both"/>
              <w:rPr>
                <w:rFonts w:ascii="Times New Roman" w:eastAsia="Times New Roman" w:hAnsi="Times New Roman" w:cs="Times New Roman"/>
                <w:color w:val="FF0000"/>
                <w:sz w:val="20"/>
                <w:szCs w:val="20"/>
                <w:highlight w:val="yellow"/>
                <w:lang w:val="uk-UA"/>
              </w:rPr>
            </w:pPr>
          </w:p>
        </w:tc>
      </w:tr>
      <w:tr w:rsidR="00C8487A" w:rsidRPr="00C049E4"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E52" w:rsidRDefault="00615E52" w:rsidP="00615E52">
            <w:pPr>
              <w:jc w:val="both"/>
              <w:rPr>
                <w:rFonts w:ascii="Times New Roman" w:hAnsi="Times New Roman" w:cs="Times New Roman"/>
                <w:color w:val="000000" w:themeColor="text1"/>
                <w:sz w:val="20"/>
                <w:szCs w:val="20"/>
                <w:lang w:val="uk-UA" w:eastAsia="uk-UA"/>
              </w:rPr>
            </w:pPr>
            <w:r w:rsidRPr="00615E52">
              <w:rPr>
                <w:rFonts w:ascii="Times New Roman" w:hAnsi="Times New Roman" w:cs="Times New Roman"/>
                <w:color w:val="000000" w:themeColor="text1"/>
                <w:sz w:val="20"/>
                <w:szCs w:val="20"/>
                <w:lang w:val="uk-UA" w:eastAsia="uk-UA"/>
              </w:rPr>
              <w:t xml:space="preserve">1.2. </w:t>
            </w:r>
            <w:r>
              <w:rPr>
                <w:rFonts w:ascii="Times New Roman" w:hAnsi="Times New Roman" w:cs="Times New Roman"/>
                <w:color w:val="000000" w:themeColor="text1"/>
                <w:sz w:val="20"/>
                <w:szCs w:val="20"/>
                <w:lang w:val="uk-UA" w:eastAsia="uk-UA"/>
              </w:rPr>
              <w:t>Н</w:t>
            </w:r>
            <w:r w:rsidRPr="00615E52">
              <w:rPr>
                <w:rFonts w:ascii="Times New Roman" w:hAnsi="Times New Roman" w:cs="Times New Roman"/>
                <w:color w:val="000000" w:themeColor="text1"/>
                <w:sz w:val="20"/>
                <w:szCs w:val="20"/>
                <w:lang w:val="uk-UA" w:eastAsia="uk-UA"/>
              </w:rPr>
              <w:t xml:space="preserve">аявність працівників в кількості, що забезпечить вчасне </w:t>
            </w:r>
            <w:r>
              <w:rPr>
                <w:rFonts w:ascii="Times New Roman" w:hAnsi="Times New Roman" w:cs="Times New Roman"/>
                <w:color w:val="000000" w:themeColor="text1"/>
                <w:sz w:val="20"/>
                <w:szCs w:val="20"/>
                <w:lang w:val="uk-UA" w:eastAsia="uk-UA"/>
              </w:rPr>
              <w:t>надання послуг</w:t>
            </w:r>
            <w:r w:rsidRPr="00615E52">
              <w:rPr>
                <w:rFonts w:ascii="Times New Roman" w:hAnsi="Times New Roman" w:cs="Times New Roman"/>
                <w:color w:val="000000" w:themeColor="text1"/>
                <w:sz w:val="20"/>
                <w:szCs w:val="20"/>
                <w:lang w:val="uk-UA" w:eastAsia="uk-UA"/>
              </w:rPr>
              <w:t xml:space="preserve"> в повному обсязі згідно технічного завдання Замовника.</w:t>
            </w:r>
          </w:p>
          <w:p w:rsidR="00615E52" w:rsidRDefault="00615E52" w:rsidP="00615E52">
            <w:pPr>
              <w:jc w:val="both"/>
              <w:rPr>
                <w:rFonts w:ascii="Times New Roman" w:hAnsi="Times New Roman" w:cs="Times New Roman"/>
                <w:bCs/>
                <w:color w:val="000000" w:themeColor="text1"/>
                <w:sz w:val="20"/>
                <w:szCs w:val="20"/>
                <w:lang w:val="uk-UA" w:eastAsia="uk-UA"/>
              </w:rPr>
            </w:pPr>
            <w:r w:rsidRPr="00615E52">
              <w:rPr>
                <w:rFonts w:ascii="Times New Roman" w:hAnsi="Times New Roman" w:cs="Times New Roman"/>
                <w:color w:val="000000" w:themeColor="text1"/>
                <w:sz w:val="20"/>
                <w:szCs w:val="20"/>
                <w:lang w:val="uk-UA" w:eastAsia="uk-UA"/>
              </w:rPr>
              <w:t xml:space="preserve"> Наявність працівників підтвердити довідкою у довільній формі. До довідки додаються: документи: витяги з трудових книжок таких працівників із записом про прийом на роботу, накази про прийняття на роботу, або </w:t>
            </w:r>
            <w:r w:rsidRPr="00615E52">
              <w:rPr>
                <w:rFonts w:ascii="Times New Roman" w:hAnsi="Times New Roman" w:cs="Times New Roman"/>
                <w:bCs/>
                <w:color w:val="000000" w:themeColor="text1"/>
                <w:sz w:val="20"/>
                <w:szCs w:val="20"/>
                <w:lang w:val="uk-UA" w:eastAsia="uk-UA"/>
              </w:rPr>
              <w:t xml:space="preserve">договори </w:t>
            </w:r>
            <w:r>
              <w:rPr>
                <w:rFonts w:ascii="Times New Roman" w:hAnsi="Times New Roman" w:cs="Times New Roman"/>
                <w:bCs/>
                <w:color w:val="000000" w:themeColor="text1"/>
                <w:sz w:val="20"/>
                <w:szCs w:val="20"/>
                <w:lang w:val="uk-UA" w:eastAsia="uk-UA"/>
              </w:rPr>
              <w:t>цивільно – правового характеру.</w:t>
            </w:r>
          </w:p>
          <w:p w:rsidR="00615E52" w:rsidRPr="00615E52" w:rsidRDefault="00615E52" w:rsidP="00615E52">
            <w:pPr>
              <w:jc w:val="both"/>
              <w:rPr>
                <w:rFonts w:ascii="Times New Roman" w:hAnsi="Times New Roman" w:cs="Times New Roman"/>
                <w:color w:val="000000" w:themeColor="text1"/>
                <w:sz w:val="20"/>
                <w:szCs w:val="20"/>
                <w:lang w:val="uk-UA"/>
              </w:rPr>
            </w:pPr>
            <w:r w:rsidRPr="00615E52">
              <w:rPr>
                <w:rFonts w:ascii="Times New Roman" w:hAnsi="Times New Roman" w:cs="Times New Roman"/>
                <w:color w:val="000000" w:themeColor="text1"/>
                <w:sz w:val="20"/>
                <w:szCs w:val="20"/>
                <w:lang w:val="uk-UA" w:eastAsia="uk-UA"/>
              </w:rPr>
              <w:t>Серед працівників обов’язкова наявність фахівця з благоустрою та озеленення</w:t>
            </w:r>
            <w:r>
              <w:rPr>
                <w:rFonts w:ascii="Times New Roman" w:hAnsi="Times New Roman" w:cs="Times New Roman"/>
                <w:color w:val="000000" w:themeColor="text1"/>
                <w:sz w:val="20"/>
                <w:szCs w:val="20"/>
                <w:lang w:val="uk-UA" w:eastAsia="uk-UA"/>
              </w:rPr>
              <w:t>.</w:t>
            </w:r>
          </w:p>
          <w:p w:rsidR="00C8487A" w:rsidRPr="00615E52" w:rsidRDefault="00C8487A" w:rsidP="00615E52">
            <w:pPr>
              <w:pStyle w:val="afc"/>
              <w:ind w:firstLine="567"/>
              <w:jc w:val="both"/>
              <w:rPr>
                <w:rFonts w:ascii="Times New Roman" w:hAnsi="Times New Roman"/>
                <w:sz w:val="20"/>
                <w:szCs w:val="20"/>
              </w:rPr>
            </w:pP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EF33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EF33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EF33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EF33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EF33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EF335A">
            <w:pPr>
              <w:spacing w:after="0" w:line="240" w:lineRule="atLeast"/>
              <w:ind w:left="102"/>
              <w:contextualSpacing/>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EF33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EF335A">
            <w:pPr>
              <w:spacing w:before="240" w:after="0" w:line="240" w:lineRule="atLeast"/>
              <w:ind w:left="102"/>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EF33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w:t>
            </w:r>
            <w:r>
              <w:rPr>
                <w:rFonts w:ascii="Times New Roman" w:hAnsi="Times New Roman"/>
                <w:sz w:val="20"/>
                <w:szCs w:val="20"/>
              </w:rPr>
              <w:t xml:space="preserve"> відповідно до </w:t>
            </w:r>
            <w:r w:rsidRPr="00FC6BF1">
              <w:rPr>
                <w:rFonts w:ascii="Times New Roman" w:hAnsi="Times New Roman"/>
                <w:b/>
                <w:sz w:val="20"/>
                <w:szCs w:val="20"/>
              </w:rPr>
              <w:t>технічного завдання Додаток 2</w:t>
            </w:r>
            <w:r>
              <w:rPr>
                <w:rFonts w:ascii="Times New Roman" w:hAnsi="Times New Roman"/>
                <w:b/>
                <w:sz w:val="20"/>
                <w:szCs w:val="20"/>
              </w:rPr>
              <w:t xml:space="preserve"> до тендерної документації </w:t>
            </w:r>
            <w:r>
              <w:rPr>
                <w:rFonts w:ascii="Times New Roman" w:hAnsi="Times New Roman"/>
                <w:sz w:val="20"/>
                <w:szCs w:val="20"/>
              </w:rPr>
              <w:t>,</w:t>
            </w:r>
            <w:r w:rsidRPr="00FC6BF1">
              <w:rPr>
                <w:rFonts w:ascii="Times New Roman" w:hAnsi="Times New Roman"/>
                <w:sz w:val="20"/>
                <w:szCs w:val="20"/>
              </w:rPr>
              <w:t xml:space="preserve"> а саме:</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«Договірну ціну»;</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дефектний акт;</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зведений кошторисний розрахунок;</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пояснювальна записка до розрахунку зведеного кошторисного розрахунку;</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локальний кошторис (з розрахунком одиничної вартості) до «Договірної ціни»;</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t>- підсумкова відомість ресурсів;</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t>- розрахунок загальновиробничих витрат;</w:t>
            </w:r>
          </w:p>
          <w:p w:rsidR="00615E52" w:rsidRPr="00615E52" w:rsidRDefault="00615E52" w:rsidP="00615E52">
            <w:pPr>
              <w:pStyle w:val="afc"/>
              <w:spacing w:line="240" w:lineRule="atLeast"/>
              <w:contextualSpacing/>
              <w:jc w:val="both"/>
              <w:rPr>
                <w:rFonts w:ascii="Times New Roman" w:hAnsi="Times New Roman"/>
                <w:color w:val="000000" w:themeColor="text1"/>
                <w:sz w:val="20"/>
                <w:szCs w:val="20"/>
              </w:rPr>
            </w:pPr>
            <w:r w:rsidRPr="00615E52">
              <w:rPr>
                <w:rFonts w:ascii="Times New Roman" w:hAnsi="Times New Roman"/>
                <w:sz w:val="20"/>
                <w:szCs w:val="20"/>
              </w:rPr>
              <w:t xml:space="preserve">- </w:t>
            </w:r>
            <w:r w:rsidRPr="00615E52">
              <w:rPr>
                <w:rFonts w:ascii="Times New Roman" w:hAnsi="Times New Roman"/>
                <w:color w:val="000000" w:themeColor="text1"/>
                <w:sz w:val="20"/>
                <w:szCs w:val="20"/>
              </w:rPr>
              <w:t>затверджені калькуляції розрахункової вартості робіт які не передбачені Державними будівельними нормами;</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lastRenderedPageBreak/>
              <w:t>- розрахункова собівартість 1 машино-години, машин і механізмів, які можуть бути задіяні при надані послуг.</w:t>
            </w:r>
          </w:p>
          <w:p w:rsidR="00615E52" w:rsidRPr="00615E52" w:rsidRDefault="00615E52" w:rsidP="00615E52">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При визначенні загальної вартості враховувати необхідну,  для належного догляду періодичність виконання робіт, вартість розсади квітів, дерев та кущів, вартість інших матеріальних ресурсів необхідних для належного догляду зелених насаджень.</w:t>
            </w:r>
          </w:p>
          <w:p w:rsidR="00615E52" w:rsidRPr="00615E52" w:rsidRDefault="00615E52" w:rsidP="00615E52">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Полив зелених насаджень проводити з урахуванням сезонності, в технічному завданні періодичність вказана за умови оптимальної вологи та температурного режиму.</w:t>
            </w:r>
          </w:p>
          <w:p w:rsidR="00615E52" w:rsidRPr="00615E52" w:rsidRDefault="00615E52" w:rsidP="00615E52">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Вартість робіт вказати з урахуванням транспортних послуг, прибутку та податків, що сплачуються або мають бути сплачені.</w:t>
            </w:r>
          </w:p>
          <w:p w:rsidR="00FC6BF1" w:rsidRPr="00FC6BF1" w:rsidRDefault="00FC6BF1" w:rsidP="00FC6BF1">
            <w:pPr>
              <w:pStyle w:val="afc"/>
              <w:jc w:val="both"/>
              <w:rPr>
                <w:rFonts w:ascii="Times New Roman" w:hAnsi="Times New Roman"/>
                <w:sz w:val="20"/>
                <w:szCs w:val="20"/>
              </w:rPr>
            </w:pPr>
          </w:p>
        </w:tc>
      </w:tr>
      <w:tr w:rsidR="00FC6BF1" w:rsidRPr="00615E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615E52" w:rsidRDefault="00615E52" w:rsidP="00FC6BF1">
            <w:pPr>
              <w:pStyle w:val="afc"/>
              <w:jc w:val="both"/>
              <w:rPr>
                <w:rFonts w:ascii="Times New Roman" w:hAnsi="Times New Roman"/>
                <w:sz w:val="20"/>
                <w:szCs w:val="20"/>
              </w:rPr>
            </w:pPr>
            <w:r w:rsidRPr="00615E52">
              <w:rPr>
                <w:rFonts w:ascii="Times New Roman" w:hAnsi="Times New Roman"/>
                <w:color w:val="000000" w:themeColor="text1"/>
                <w:sz w:val="20"/>
                <w:szCs w:val="20"/>
              </w:rPr>
              <w:t>Для виконання робіт з улаштування ландшафтного дизайну квітників, в обов’язковому порядку необхідно мати досвід реалізації робіт з ландшафтного дизайну, який підтвердити довідкою у довільній формі</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615E52" w:rsidP="00EF335A">
            <w:pPr>
              <w:spacing w:before="240" w:after="0" w:line="240" w:lineRule="atLeast"/>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606C03"/>
    <w:rsid w:val="00615E52"/>
    <w:rsid w:val="00680398"/>
    <w:rsid w:val="00842CCA"/>
    <w:rsid w:val="008467A8"/>
    <w:rsid w:val="0094111B"/>
    <w:rsid w:val="00C049E4"/>
    <w:rsid w:val="00C8487A"/>
    <w:rsid w:val="00E06DEF"/>
    <w:rsid w:val="00EF335A"/>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cp:lastPrinted>2024-02-22T12:16:00Z</cp:lastPrinted>
  <dcterms:created xsi:type="dcterms:W3CDTF">2024-03-06T12:32:00Z</dcterms:created>
  <dcterms:modified xsi:type="dcterms:W3CDTF">2024-03-06T12:32:00Z</dcterms:modified>
</cp:coreProperties>
</file>