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0AEE" w14:textId="314C49DA"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xml:space="preserve">№ </w:t>
      </w:r>
      <w:r w:rsidR="00A5338F">
        <w:rPr>
          <w:rFonts w:ascii="Times New Roman" w:hAnsi="Times New Roman"/>
          <w:b/>
          <w:bCs/>
          <w:sz w:val="24"/>
          <w:szCs w:val="24"/>
          <w:lang w:val="uk-UA"/>
        </w:rPr>
        <w:t>5</w:t>
      </w:r>
      <w:r w:rsidR="00B060FF" w:rsidRPr="00E2358B">
        <w:rPr>
          <w:rFonts w:ascii="Times New Roman" w:hAnsi="Times New Roman"/>
          <w:b/>
          <w:bCs/>
          <w:sz w:val="24"/>
          <w:szCs w:val="24"/>
          <w:lang w:val="uk-UA"/>
        </w:rPr>
        <w:t xml:space="preserve">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377C69B0" w:rsidR="001D6102" w:rsidRPr="00FF1C19" w:rsidRDefault="001D6102" w:rsidP="001D6102">
      <w:pPr>
        <w:widowControl w:val="0"/>
        <w:tabs>
          <w:tab w:val="left" w:pos="142"/>
        </w:tabs>
        <w:suppressAutoHyphens/>
        <w:autoSpaceDE w:val="0"/>
        <w:spacing w:after="0" w:line="264" w:lineRule="auto"/>
        <w:ind w:right="284"/>
        <w:rPr>
          <w:rFonts w:ascii="Times New Roman" w:hAnsi="Times New Roman"/>
          <w:bCs/>
          <w:sz w:val="24"/>
          <w:szCs w:val="24"/>
          <w:lang w:val="uk-UA" w:eastAsia="zh-CN"/>
        </w:rPr>
      </w:pPr>
      <w:r w:rsidRPr="00FF1C19">
        <w:rPr>
          <w:rFonts w:ascii="Times New Roman" w:hAnsi="Times New Roman"/>
          <w:bCs/>
          <w:sz w:val="24"/>
          <w:szCs w:val="24"/>
          <w:lang w:val="uk-UA"/>
        </w:rPr>
        <w:t xml:space="preserve">  м. </w:t>
      </w:r>
      <w:r w:rsidR="0083673A" w:rsidRPr="00FF1C19">
        <w:rPr>
          <w:rFonts w:ascii="Times New Roman" w:hAnsi="Times New Roman"/>
          <w:bCs/>
          <w:sz w:val="24"/>
          <w:szCs w:val="24"/>
          <w:lang w:val="uk-UA"/>
        </w:rPr>
        <w:t>О</w:t>
      </w:r>
      <w:r w:rsidR="006A7006" w:rsidRPr="00FF1C19">
        <w:rPr>
          <w:rFonts w:ascii="Times New Roman" w:hAnsi="Times New Roman"/>
          <w:bCs/>
          <w:sz w:val="24"/>
          <w:szCs w:val="24"/>
          <w:lang w:val="uk-UA"/>
        </w:rPr>
        <w:t xml:space="preserve">деса    </w:t>
      </w:r>
      <w:r w:rsidRPr="00FF1C19">
        <w:rPr>
          <w:rFonts w:ascii="Times New Roman" w:hAnsi="Times New Roman"/>
          <w:bCs/>
          <w:sz w:val="24"/>
          <w:szCs w:val="24"/>
          <w:lang w:val="uk-UA"/>
        </w:rPr>
        <w:t xml:space="preserve">                                                                            </w:t>
      </w:r>
      <w:r w:rsidR="00FF1C19">
        <w:rPr>
          <w:rFonts w:ascii="Times New Roman" w:hAnsi="Times New Roman"/>
          <w:bCs/>
          <w:sz w:val="24"/>
          <w:szCs w:val="24"/>
          <w:lang w:val="uk-UA"/>
        </w:rPr>
        <w:t xml:space="preserve">  </w:t>
      </w:r>
      <w:r w:rsidRPr="00FF1C19">
        <w:rPr>
          <w:rFonts w:ascii="Times New Roman" w:hAnsi="Times New Roman"/>
          <w:bCs/>
          <w:sz w:val="24"/>
          <w:szCs w:val="24"/>
          <w:lang w:val="uk-UA"/>
        </w:rPr>
        <w:t xml:space="preserve">  «____» ____________ 2023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7D70A96C" w:rsidR="001D6102" w:rsidRPr="00E2358B" w:rsidRDefault="00522768" w:rsidP="001D6102">
      <w:pPr>
        <w:pStyle w:val="HTML"/>
        <w:ind w:firstLine="540"/>
        <w:jc w:val="both"/>
        <w:rPr>
          <w:rFonts w:ascii="Times New Roman" w:hAnsi="Times New Roman"/>
          <w:b/>
          <w:sz w:val="24"/>
          <w:szCs w:val="24"/>
          <w:lang w:val="uk-UA"/>
        </w:rPr>
      </w:pPr>
      <w:r w:rsidRPr="00522768">
        <w:rPr>
          <w:rFonts w:ascii="Times New Roman" w:hAnsi="Times New Roman"/>
          <w:sz w:val="24"/>
          <w:szCs w:val="24"/>
          <w:lang w:val="uk-UA" w:eastAsia="en-US"/>
        </w:rPr>
        <w:t>КОМУНАЛЬНЕ НЕКОМЕРЦІЙНЕ ПІДПРИЄМСТВО «МІСЬКА ЛІКАРНЯ № 8» ОДЕСЬКОЇ МІСЬКОЇ РАДИ</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директора </w:t>
      </w:r>
      <w:r w:rsidR="00FF1C19">
        <w:rPr>
          <w:rFonts w:ascii="Times New Roman" w:hAnsi="Times New Roman"/>
          <w:sz w:val="24"/>
          <w:szCs w:val="24"/>
          <w:lang w:val="uk-UA"/>
        </w:rPr>
        <w:t>Марії БОБКОВОЇ</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 xml:space="preserve">названий в подальшому </w:t>
      </w:r>
      <w:r w:rsidR="00FF1C19">
        <w:rPr>
          <w:rFonts w:ascii="Times New Roman" w:hAnsi="Times New Roman"/>
          <w:color w:val="000000"/>
          <w:sz w:val="24"/>
          <w:szCs w:val="24"/>
          <w:lang w:val="uk-UA"/>
        </w:rPr>
        <w:t>«</w:t>
      </w:r>
      <w:r w:rsidR="0083673A" w:rsidRPr="00E2358B">
        <w:rPr>
          <w:rFonts w:ascii="Times New Roman" w:hAnsi="Times New Roman"/>
          <w:color w:val="000000"/>
          <w:sz w:val="24"/>
          <w:szCs w:val="24"/>
          <w:lang w:val="uk-UA"/>
        </w:rPr>
        <w:t>Замовник</w:t>
      </w:r>
      <w:r w:rsidR="00FF1C19">
        <w:rPr>
          <w:rFonts w:ascii="Times New Roman" w:hAnsi="Times New Roman"/>
          <w:color w:val="000000"/>
          <w:sz w:val="24"/>
          <w:szCs w:val="24"/>
          <w:lang w:val="uk-UA"/>
        </w:rPr>
        <w:t>»</w:t>
      </w:r>
      <w:r w:rsidR="0083673A" w:rsidRPr="00E2358B">
        <w:rPr>
          <w:rFonts w:ascii="Times New Roman" w:hAnsi="Times New Roman"/>
          <w:color w:val="000000"/>
          <w:sz w:val="24"/>
          <w:szCs w:val="24"/>
          <w:lang w:val="uk-UA"/>
        </w:rPr>
        <w:t>,</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w:t>
      </w:r>
      <w:r w:rsidR="001D6102" w:rsidRPr="00FF1C19">
        <w:rPr>
          <w:rFonts w:ascii="Times New Roman" w:hAnsi="Times New Roman"/>
          <w:sz w:val="24"/>
          <w:szCs w:val="24"/>
          <w:lang w:val="uk-UA"/>
        </w:rPr>
        <w:t>_____________________________(далі – Постачальник), з</w:t>
      </w:r>
      <w:r w:rsidR="001D6102" w:rsidRPr="00E2358B">
        <w:rPr>
          <w:rFonts w:ascii="Times New Roman" w:hAnsi="Times New Roman"/>
          <w:sz w:val="24"/>
          <w:szCs w:val="24"/>
          <w:lang w:val="uk-UA"/>
        </w:rPr>
        <w:t xml:space="preserve">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77777777"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2023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2E32316A" w14:textId="03AF185F" w:rsidR="00C86468" w:rsidRPr="00C86468" w:rsidRDefault="002830AA" w:rsidP="00A5338F">
      <w:pPr>
        <w:widowControl w:val="0"/>
        <w:suppressAutoHyphens/>
        <w:autoSpaceDE w:val="0"/>
        <w:spacing w:after="0" w:line="240" w:lineRule="auto"/>
        <w:jc w:val="both"/>
        <w:rPr>
          <w:rFonts w:ascii="Times New Roman CYR" w:eastAsia="Times New Roman" w:hAnsi="Times New Roman CYR" w:cs="Arial"/>
          <w:b/>
          <w:color w:val="000000"/>
          <w:lang w:val="uk-UA" w:eastAsia="x-none"/>
        </w:rPr>
      </w:pPr>
      <w:r w:rsidRPr="00E2358B">
        <w:rPr>
          <w:rFonts w:ascii="Times New Roman" w:hAnsi="Times New Roman"/>
          <w:sz w:val="24"/>
          <w:szCs w:val="24"/>
          <w:lang w:val="uk-UA"/>
        </w:rPr>
        <w:t xml:space="preserve">1.2. Найменування Товару: </w:t>
      </w:r>
      <w:r w:rsidR="00A5338F">
        <w:rPr>
          <w:rFonts w:ascii="Times New Roman" w:hAnsi="Times New Roman"/>
          <w:sz w:val="24"/>
          <w:szCs w:val="24"/>
          <w:lang w:val="uk-UA"/>
        </w:rPr>
        <w:t>_________________________________________________________</w:t>
      </w:r>
    </w:p>
    <w:p w14:paraId="27F32FD5" w14:textId="569E70EB" w:rsidR="002830AA" w:rsidRPr="00A70583" w:rsidRDefault="002830AA" w:rsidP="00C86468">
      <w:pPr>
        <w:widowControl w:val="0"/>
        <w:suppressAutoHyphens/>
        <w:autoSpaceDE w:val="0"/>
        <w:spacing w:after="0" w:line="240" w:lineRule="auto"/>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w:t>
      </w:r>
      <w:r w:rsidRPr="00E2358B">
        <w:rPr>
          <w:rFonts w:ascii="Times New Roman" w:hAnsi="Times New Roman"/>
          <w:sz w:val="24"/>
          <w:szCs w:val="24"/>
          <w:lang w:val="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2CE0EEA8"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FF1C19">
        <w:rPr>
          <w:rFonts w:ascii="Times New Roman" w:hAnsi="Times New Roman"/>
          <w:sz w:val="24"/>
          <w:szCs w:val="24"/>
          <w:lang w:val="uk-UA"/>
        </w:rPr>
        <w:t>1</w:t>
      </w:r>
      <w:r w:rsidRPr="00E2358B">
        <w:rPr>
          <w:rFonts w:ascii="Times New Roman" w:hAnsi="Times New Roman"/>
          <w:sz w:val="24"/>
          <w:szCs w:val="24"/>
          <w:lang w:val="uk-UA"/>
        </w:rPr>
        <w:t>0 (</w:t>
      </w:r>
      <w:r w:rsidR="00FF1C19">
        <w:rPr>
          <w:rFonts w:ascii="Times New Roman" w:hAnsi="Times New Roman"/>
          <w:sz w:val="24"/>
          <w:szCs w:val="24"/>
          <w:lang w:val="uk-UA"/>
        </w:rPr>
        <w:t>десяти</w:t>
      </w:r>
      <w:r w:rsidRPr="00E2358B">
        <w:rPr>
          <w:rFonts w:ascii="Times New Roman" w:hAnsi="Times New Roman"/>
          <w:sz w:val="24"/>
          <w:szCs w:val="24"/>
          <w:lang w:val="uk-UA"/>
        </w:rPr>
        <w:t xml:space="preserve">) </w:t>
      </w:r>
      <w:r w:rsidR="00FF1C19">
        <w:rPr>
          <w:rFonts w:ascii="Times New Roman" w:hAnsi="Times New Roman"/>
          <w:sz w:val="24"/>
          <w:szCs w:val="24"/>
          <w:lang w:val="uk-UA"/>
        </w:rPr>
        <w:t>робочих</w:t>
      </w:r>
      <w:r w:rsidRPr="00E2358B">
        <w:rPr>
          <w:rFonts w:ascii="Times New Roman" w:hAnsi="Times New Roman"/>
          <w:sz w:val="24"/>
          <w:szCs w:val="24"/>
          <w:lang w:val="uk-UA"/>
        </w:rPr>
        <w:t xml:space="preserve">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4B2A0DE5" w14:textId="77777777" w:rsidR="004A4951" w:rsidRPr="004A4951" w:rsidRDefault="00D34D35" w:rsidP="004A4951">
      <w:pPr>
        <w:autoSpaceDE w:val="0"/>
        <w:spacing w:after="0" w:line="240" w:lineRule="auto"/>
        <w:jc w:val="both"/>
        <w:rPr>
          <w:rFonts w:ascii="Times New Roman" w:hAnsi="Times New Roman"/>
          <w:sz w:val="24"/>
          <w:szCs w:val="24"/>
          <w:lang w:val="uk-UA"/>
        </w:rPr>
      </w:pPr>
      <w:r w:rsidRPr="004A4951">
        <w:rPr>
          <w:rFonts w:ascii="Times New Roman" w:hAnsi="Times New Roman"/>
          <w:sz w:val="24"/>
          <w:szCs w:val="24"/>
          <w:lang w:val="uk-UA"/>
        </w:rPr>
        <w:t xml:space="preserve">Місце передачі Товару за адресою: </w:t>
      </w:r>
      <w:r w:rsidR="004A4951" w:rsidRPr="004A4951">
        <w:rPr>
          <w:rFonts w:ascii="Times New Roman" w:eastAsia="Times New Roman" w:hAnsi="Times New Roman"/>
          <w:sz w:val="24"/>
          <w:szCs w:val="24"/>
          <w:lang w:val="uk-UA"/>
        </w:rPr>
        <w:t>м. Одеса, вул. Фонтанська дорога, 110.</w:t>
      </w:r>
    </w:p>
    <w:p w14:paraId="041765C9" w14:textId="61731AFC" w:rsidR="00D34D35" w:rsidRPr="004A4951" w:rsidRDefault="00D34D35" w:rsidP="00202C17">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4A4951">
        <w:rPr>
          <w:rFonts w:ascii="Times New Roman" w:hAnsi="Times New Roman"/>
          <w:sz w:val="24"/>
          <w:szCs w:val="24"/>
          <w:lang w:val="uk-UA"/>
        </w:rPr>
        <w:t xml:space="preserve">Строк (термін) передачі Товару: </w:t>
      </w:r>
      <w:r w:rsidR="00B219EA" w:rsidRPr="004A4951">
        <w:rPr>
          <w:rFonts w:ascii="Times New Roman" w:hAnsi="Times New Roman"/>
          <w:sz w:val="24"/>
          <w:szCs w:val="24"/>
          <w:lang w:val="uk-UA"/>
        </w:rPr>
        <w:t xml:space="preserve">до </w:t>
      </w:r>
      <w:r w:rsidR="00A5338F">
        <w:rPr>
          <w:rFonts w:ascii="Times New Roman" w:hAnsi="Times New Roman"/>
          <w:sz w:val="24"/>
          <w:szCs w:val="24"/>
          <w:lang w:val="uk-UA"/>
        </w:rPr>
        <w:t>31.12.2023 року.</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3D75ABB0"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ання Сторонами накладної та акт</w:t>
      </w:r>
      <w:r w:rsidR="004F7BC1">
        <w:rPr>
          <w:rFonts w:ascii="Times New Roman" w:hAnsi="Times New Roman"/>
          <w:sz w:val="24"/>
          <w:szCs w:val="24"/>
          <w:lang w:val="uk-UA"/>
        </w:rPr>
        <w:t>у</w:t>
      </w:r>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002C5FD9"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lastRenderedPageBreak/>
        <w:t>Ризики випадкового знищення та/або пошкодження Товару переходять до Замовника з моменту передачі Товару Замовника і підписання Сторонами акт</w:t>
      </w:r>
      <w:r w:rsidR="004F7BC1">
        <w:rPr>
          <w:rFonts w:ascii="Times New Roman" w:hAnsi="Times New Roman"/>
          <w:sz w:val="24"/>
          <w:szCs w:val="24"/>
          <w:lang w:val="uk-UA"/>
        </w:rPr>
        <w:t>у</w:t>
      </w:r>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806096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Повернути рахунок Постачальнику без здійснення оплати в разі неналежного оформлення Акт</w:t>
      </w:r>
      <w:r w:rsidR="004F7BC1">
        <w:rPr>
          <w:rFonts w:ascii="Times New Roman" w:hAnsi="Times New Roman"/>
          <w:sz w:val="24"/>
          <w:szCs w:val="24"/>
          <w:lang w:val="uk-UA"/>
        </w:rPr>
        <w:t>у</w:t>
      </w:r>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w:t>
      </w:r>
      <w:r w:rsidRPr="00E2358B">
        <w:rPr>
          <w:rFonts w:ascii="Times New Roman" w:eastAsia="Calibri" w:hAnsi="Times New Roman"/>
          <w:sz w:val="24"/>
          <w:szCs w:val="24"/>
          <w:lang w:val="uk-UA"/>
        </w:rPr>
        <w:lastRenderedPageBreak/>
        <w:t>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31.12.2023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Строк дії Договору та/або виконання зобов`язань може продовжуватись у разі виникнення </w:t>
      </w:r>
      <w:r w:rsidRPr="00E2358B">
        <w:rPr>
          <w:rFonts w:ascii="Times New Roman" w:hAnsi="Times New Roman"/>
          <w:i/>
          <w:sz w:val="24"/>
          <w:szCs w:val="24"/>
          <w:lang w:val="uk-UA" w:eastAsia="zh-CN"/>
        </w:rPr>
        <w:lastRenderedPageBreak/>
        <w:t>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6B4F04AD" w14:textId="66A30EDB" w:rsidR="002B689D" w:rsidRDefault="00522768" w:rsidP="00F5727B">
            <w:pPr>
              <w:spacing w:after="0" w:line="240" w:lineRule="auto"/>
              <w:contextualSpacing/>
              <w:rPr>
                <w:rFonts w:ascii="Times New Roman" w:eastAsia="Times New Roman" w:hAnsi="Times New Roman"/>
                <w:color w:val="000000"/>
                <w:sz w:val="24"/>
                <w:szCs w:val="24"/>
                <w:lang w:val="uk-UA" w:eastAsia="ru-RU"/>
              </w:rPr>
            </w:pPr>
            <w:r w:rsidRPr="00522768">
              <w:rPr>
                <w:rFonts w:ascii="Times New Roman" w:hAnsi="Times New Roman"/>
                <w:sz w:val="24"/>
                <w:szCs w:val="24"/>
                <w:lang w:val="uk-UA"/>
              </w:rPr>
              <w:t>КОМУНАЛЬНЕ НЕКОМЕРЦІЙНЕ ПІДПРИЄМСТВО «МІСЬКА ЛІКАРНЯ № 8» ОДЕСЬКОЇ МІСЬКОЇ РАДИ</w:t>
            </w:r>
            <w:r w:rsidRPr="00F5727B">
              <w:rPr>
                <w:rFonts w:ascii="Times New Roman" w:eastAsia="Times New Roman" w:hAnsi="Times New Roman"/>
                <w:color w:val="000000"/>
                <w:sz w:val="24"/>
                <w:szCs w:val="24"/>
                <w:lang w:val="uk-UA" w:eastAsia="ru-RU"/>
              </w:rPr>
              <w:t xml:space="preserve"> </w:t>
            </w:r>
            <w:r w:rsidR="00F5727B" w:rsidRPr="00F5727B">
              <w:rPr>
                <w:rFonts w:ascii="Times New Roman" w:eastAsia="Times New Roman" w:hAnsi="Times New Roman"/>
                <w:color w:val="000000"/>
                <w:sz w:val="24"/>
                <w:szCs w:val="24"/>
                <w:lang w:val="uk-UA" w:eastAsia="ru-RU"/>
              </w:rPr>
              <w:t>Електронна адреса:</w:t>
            </w:r>
          </w:p>
          <w:p w14:paraId="401161DB" w14:textId="41DD8BF5"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5E3F7FB"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F15CF7">
              <w:rPr>
                <w:rFonts w:ascii="Times New Roman" w:eastAsia="Times New Roman" w:hAnsi="Times New Roman"/>
                <w:color w:val="000000"/>
                <w:sz w:val="24"/>
                <w:szCs w:val="24"/>
                <w:lang w:val="uk-UA" w:eastAsia="ru-RU"/>
              </w:rPr>
              <w:t>_</w:t>
            </w:r>
          </w:p>
          <w:p w14:paraId="45AD47D4" w14:textId="77777777"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3A95C5F"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33495F83"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68844C84"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522768">
              <w:rPr>
                <w:rFonts w:ascii="Times New Roman" w:eastAsia="Times New Roman" w:hAnsi="Times New Roman"/>
                <w:color w:val="000000"/>
                <w:sz w:val="24"/>
                <w:szCs w:val="24"/>
                <w:lang w:val="uk-UA" w:eastAsia="ru-RU"/>
              </w:rPr>
              <w:t>Марія БОБКОВА</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2023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77777777" w:rsidR="001D6102" w:rsidRPr="00E2358B" w:rsidRDefault="001D6102" w:rsidP="001B2F1A">
            <w:pPr>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п/п</w:t>
            </w:r>
          </w:p>
        </w:tc>
        <w:tc>
          <w:tcPr>
            <w:tcW w:w="1258" w:type="pct"/>
            <w:shd w:val="clear" w:color="auto" w:fill="auto"/>
            <w:tcMar>
              <w:left w:w="98" w:type="dxa"/>
            </w:tcMar>
            <w:vAlign w:val="center"/>
          </w:tcPr>
          <w:p w14:paraId="5E5296A0"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Найменування  товару</w:t>
            </w:r>
          </w:p>
        </w:tc>
        <w:tc>
          <w:tcPr>
            <w:tcW w:w="736" w:type="pct"/>
            <w:shd w:val="clear" w:color="auto" w:fill="auto"/>
            <w:vAlign w:val="center"/>
          </w:tcPr>
          <w:p w14:paraId="216972B6" w14:textId="77777777" w:rsidR="001D6102" w:rsidRPr="00E2358B" w:rsidRDefault="00AF71B8" w:rsidP="00AF71B8">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Виробник, к</w:t>
            </w:r>
            <w:r w:rsidR="001D6102" w:rsidRPr="00E2358B">
              <w:rPr>
                <w:rFonts w:ascii="Times New Roman" w:hAnsi="Times New Roman"/>
                <w:b/>
                <w:sz w:val="24"/>
                <w:szCs w:val="24"/>
                <w:lang w:val="uk-UA"/>
              </w:rPr>
              <w:t xml:space="preserve">раїна </w:t>
            </w:r>
            <w:r w:rsidRPr="00E2358B">
              <w:rPr>
                <w:rFonts w:ascii="Times New Roman" w:hAnsi="Times New Roman"/>
                <w:b/>
                <w:sz w:val="24"/>
                <w:szCs w:val="24"/>
                <w:lang w:val="uk-UA"/>
              </w:rPr>
              <w:t>походження</w:t>
            </w:r>
          </w:p>
        </w:tc>
        <w:tc>
          <w:tcPr>
            <w:tcW w:w="610" w:type="pct"/>
            <w:shd w:val="clear" w:color="auto" w:fill="auto"/>
            <w:tcMar>
              <w:left w:w="98" w:type="dxa"/>
            </w:tcMar>
            <w:vAlign w:val="center"/>
          </w:tcPr>
          <w:p w14:paraId="656269E3"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Одиниця виміру</w:t>
            </w:r>
          </w:p>
        </w:tc>
        <w:tc>
          <w:tcPr>
            <w:tcW w:w="366" w:type="pct"/>
            <w:shd w:val="clear" w:color="auto" w:fill="auto"/>
            <w:vAlign w:val="center"/>
          </w:tcPr>
          <w:p w14:paraId="0B850508"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Кількість</w:t>
            </w:r>
          </w:p>
        </w:tc>
        <w:tc>
          <w:tcPr>
            <w:tcW w:w="966" w:type="pct"/>
            <w:shd w:val="clear" w:color="auto" w:fill="auto"/>
            <w:tcMar>
              <w:left w:w="98" w:type="dxa"/>
            </w:tcMar>
            <w:vAlign w:val="center"/>
          </w:tcPr>
          <w:p w14:paraId="091EB609" w14:textId="77777777" w:rsidR="001D6102" w:rsidRPr="00E2358B" w:rsidRDefault="001D6102" w:rsidP="001B2F1A">
            <w:pPr>
              <w:spacing w:after="0" w:line="240" w:lineRule="auto"/>
              <w:ind w:firstLine="360"/>
              <w:contextualSpacing/>
              <w:jc w:val="center"/>
              <w:rPr>
                <w:rFonts w:ascii="Times New Roman" w:hAnsi="Times New Roman"/>
                <w:b/>
                <w:sz w:val="24"/>
                <w:szCs w:val="24"/>
                <w:lang w:val="uk-UA"/>
              </w:rPr>
            </w:pPr>
            <w:r w:rsidRPr="00E2358B">
              <w:rPr>
                <w:rFonts w:ascii="Times New Roman" w:hAnsi="Times New Roman"/>
                <w:b/>
                <w:sz w:val="24"/>
                <w:szCs w:val="24"/>
                <w:lang w:val="uk-UA"/>
              </w:rPr>
              <w:t xml:space="preserve">Ціна за одиницю </w:t>
            </w:r>
            <w:r w:rsidR="00CC3516">
              <w:rPr>
                <w:rFonts w:ascii="Times New Roman" w:hAnsi="Times New Roman"/>
                <w:b/>
                <w:sz w:val="24"/>
                <w:szCs w:val="24"/>
                <w:lang w:val="uk-UA"/>
              </w:rPr>
              <w:t>товару з/без ПДВ (грн</w:t>
            </w:r>
            <w:r w:rsidRPr="00E2358B">
              <w:rPr>
                <w:rFonts w:ascii="Times New Roman" w:hAnsi="Times New Roman"/>
                <w:b/>
                <w:sz w:val="24"/>
                <w:szCs w:val="24"/>
                <w:lang w:val="uk-UA"/>
              </w:rPr>
              <w:t>)</w:t>
            </w:r>
          </w:p>
        </w:tc>
        <w:tc>
          <w:tcPr>
            <w:tcW w:w="773" w:type="pct"/>
            <w:gridSpan w:val="2"/>
            <w:shd w:val="clear" w:color="auto" w:fill="auto"/>
            <w:tcMar>
              <w:left w:w="98" w:type="dxa"/>
            </w:tcMar>
            <w:vAlign w:val="center"/>
          </w:tcPr>
          <w:p w14:paraId="7A3A3E99"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74F68A1" w14:textId="6174E3B4" w:rsidR="008413E3" w:rsidRDefault="00522768" w:rsidP="008413E3">
            <w:pPr>
              <w:spacing w:after="0" w:line="240" w:lineRule="auto"/>
              <w:contextualSpacing/>
              <w:rPr>
                <w:rFonts w:ascii="Times New Roman" w:eastAsia="Times New Roman" w:hAnsi="Times New Roman"/>
                <w:color w:val="000000"/>
                <w:sz w:val="24"/>
                <w:szCs w:val="24"/>
                <w:lang w:val="uk-UA" w:eastAsia="ru-RU"/>
              </w:rPr>
            </w:pPr>
            <w:r w:rsidRPr="00522768">
              <w:rPr>
                <w:rFonts w:ascii="Times New Roman" w:hAnsi="Times New Roman"/>
                <w:sz w:val="24"/>
                <w:szCs w:val="24"/>
                <w:lang w:val="uk-UA"/>
              </w:rPr>
              <w:t>КОМУНАЛЬНЕ НЕКОМЕРЦІЙНЕ ПІДПРИЄМСТВО «МІСЬКА ЛІКАРНЯ № 8» ОДЕСЬКОЇ МІСЬКОЇ РАДИ</w:t>
            </w:r>
            <w:r w:rsidRPr="00F5727B">
              <w:rPr>
                <w:rFonts w:ascii="Times New Roman" w:eastAsia="Times New Roman" w:hAnsi="Times New Roman"/>
                <w:color w:val="000000"/>
                <w:sz w:val="24"/>
                <w:szCs w:val="24"/>
                <w:lang w:val="uk-UA" w:eastAsia="ru-RU"/>
              </w:rPr>
              <w:t xml:space="preserve"> </w:t>
            </w:r>
            <w:r w:rsidR="008413E3" w:rsidRPr="00F5727B">
              <w:rPr>
                <w:rFonts w:ascii="Times New Roman" w:eastAsia="Times New Roman" w:hAnsi="Times New Roman"/>
                <w:color w:val="000000"/>
                <w:sz w:val="24"/>
                <w:szCs w:val="24"/>
                <w:lang w:val="uk-UA" w:eastAsia="ru-RU"/>
              </w:rPr>
              <w:t>Електронна адреса:</w:t>
            </w:r>
            <w:r w:rsidR="008413E3">
              <w:rPr>
                <w:rFonts w:ascii="Times New Roman" w:eastAsia="Times New Roman" w:hAnsi="Times New Roman"/>
                <w:color w:val="000000"/>
                <w:sz w:val="24"/>
                <w:szCs w:val="24"/>
                <w:lang w:val="uk-UA" w:eastAsia="ru-RU"/>
              </w:rPr>
              <w:t xml:space="preserve"> </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01E859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522768">
              <w:rPr>
                <w:rFonts w:ascii="Times New Roman" w:eastAsia="Times New Roman" w:hAnsi="Times New Roman"/>
                <w:color w:val="000000"/>
                <w:sz w:val="24"/>
                <w:szCs w:val="24"/>
                <w:lang w:val="uk-UA" w:eastAsia="ru-RU"/>
              </w:rPr>
              <w:t>Марія БОБКОВА</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D0F29"/>
    <w:rsid w:val="002D4513"/>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51"/>
    <w:rsid w:val="004A49A3"/>
    <w:rsid w:val="004B04D2"/>
    <w:rsid w:val="004B3D0D"/>
    <w:rsid w:val="004B4C82"/>
    <w:rsid w:val="004B7AA0"/>
    <w:rsid w:val="004C22C5"/>
    <w:rsid w:val="004D2528"/>
    <w:rsid w:val="004D3782"/>
    <w:rsid w:val="004E1DEF"/>
    <w:rsid w:val="004E52BB"/>
    <w:rsid w:val="004F02C9"/>
    <w:rsid w:val="004F5D62"/>
    <w:rsid w:val="004F673F"/>
    <w:rsid w:val="004F7BC1"/>
    <w:rsid w:val="00502948"/>
    <w:rsid w:val="005049AB"/>
    <w:rsid w:val="005115FA"/>
    <w:rsid w:val="00514EA6"/>
    <w:rsid w:val="00516863"/>
    <w:rsid w:val="00520942"/>
    <w:rsid w:val="00522768"/>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2ADF"/>
    <w:rsid w:val="00A27D57"/>
    <w:rsid w:val="00A3069C"/>
    <w:rsid w:val="00A3598F"/>
    <w:rsid w:val="00A37C1A"/>
    <w:rsid w:val="00A37C65"/>
    <w:rsid w:val="00A50F40"/>
    <w:rsid w:val="00A5152B"/>
    <w:rsid w:val="00A5338F"/>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5314"/>
    <w:rsid w:val="00B576C5"/>
    <w:rsid w:val="00B820DB"/>
    <w:rsid w:val="00B864F7"/>
    <w:rsid w:val="00B93092"/>
    <w:rsid w:val="00BC03A5"/>
    <w:rsid w:val="00BC6A56"/>
    <w:rsid w:val="00BD54BF"/>
    <w:rsid w:val="00BF117E"/>
    <w:rsid w:val="00C04B2D"/>
    <w:rsid w:val="00C06950"/>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468"/>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1C19"/>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0731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3719</Words>
  <Characters>21204</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24874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Книжник</cp:lastModifiedBy>
  <cp:revision>11</cp:revision>
  <cp:lastPrinted>2023-04-10T07:00:00Z</cp:lastPrinted>
  <dcterms:created xsi:type="dcterms:W3CDTF">2023-04-25T07:51:00Z</dcterms:created>
  <dcterms:modified xsi:type="dcterms:W3CDTF">2023-12-02T14:50:00Z</dcterms:modified>
</cp:coreProperties>
</file>