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E5" w:rsidRPr="00EE78A2" w:rsidRDefault="00E25902">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EE78A2">
        <w:rPr>
          <w:rFonts w:ascii="Times New Roman" w:eastAsia="Times New Roman" w:hAnsi="Times New Roman" w:cs="Times New Roman"/>
          <w:b/>
          <w:color w:val="000000"/>
          <w:sz w:val="20"/>
          <w:szCs w:val="20"/>
        </w:rPr>
        <w:t>ДОДАТОК 1</w:t>
      </w:r>
    </w:p>
    <w:p w:rsidR="008D74E5" w:rsidRPr="00EE78A2" w:rsidRDefault="00E25902">
      <w:pPr>
        <w:spacing w:after="0" w:line="240" w:lineRule="auto"/>
        <w:ind w:left="5660" w:firstLine="700"/>
        <w:jc w:val="right"/>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до тендерної документації</w:t>
      </w:r>
    </w:p>
    <w:p w:rsidR="008D74E5" w:rsidRPr="00EE78A2" w:rsidRDefault="00E25902">
      <w:pPr>
        <w:spacing w:after="0" w:line="240" w:lineRule="auto"/>
        <w:ind w:left="5660" w:firstLine="70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 </w:t>
      </w:r>
    </w:p>
    <w:p w:rsidR="008D74E5" w:rsidRPr="00EE78A2" w:rsidRDefault="00E2590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EE78A2">
        <w:rPr>
          <w:rFonts w:ascii="Times New Roman" w:eastAsia="Times New Roman" w:hAnsi="Times New Roman" w:cs="Times New Roman"/>
          <w:b/>
          <w:color w:val="000000"/>
          <w:sz w:val="20"/>
          <w:szCs w:val="20"/>
        </w:rPr>
        <w:t xml:space="preserve">Перелік документів та </w:t>
      </w:r>
      <w:proofErr w:type="gramStart"/>
      <w:r w:rsidRPr="00EE78A2">
        <w:rPr>
          <w:rFonts w:ascii="Times New Roman" w:eastAsia="Times New Roman" w:hAnsi="Times New Roman" w:cs="Times New Roman"/>
          <w:b/>
          <w:color w:val="000000"/>
          <w:sz w:val="20"/>
          <w:szCs w:val="20"/>
        </w:rPr>
        <w:t>інформації  для</w:t>
      </w:r>
      <w:proofErr w:type="gramEnd"/>
      <w:r w:rsidRPr="00EE78A2">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D74E5" w:rsidRPr="00EE78A2" w:rsidRDefault="008D74E5">
      <w:pPr>
        <w:spacing w:after="0" w:line="240" w:lineRule="auto"/>
        <w:ind w:left="885"/>
        <w:jc w:val="center"/>
        <w:rPr>
          <w:rFonts w:ascii="Times New Roman" w:eastAsia="Times New Roman" w:hAnsi="Times New Roman" w:cs="Times New Roman"/>
          <w:b/>
          <w:i/>
          <w:color w:val="4A86E8"/>
          <w:sz w:val="20"/>
          <w:szCs w:val="20"/>
        </w:rPr>
      </w:pPr>
    </w:p>
    <w:p w:rsidR="008D74E5" w:rsidRPr="00EE78A2" w:rsidRDefault="008D74E5">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D74E5" w:rsidRPr="00EE78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 </w:t>
            </w: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Документи та </w:t>
            </w:r>
            <w:r w:rsidRPr="00EE78A2">
              <w:rPr>
                <w:rFonts w:ascii="Times New Roman" w:eastAsia="Times New Roman" w:hAnsi="Times New Roman" w:cs="Times New Roman"/>
                <w:b/>
                <w:sz w:val="20"/>
                <w:szCs w:val="20"/>
              </w:rPr>
              <w:t>інформація, </w:t>
            </w:r>
            <w:r w:rsidRPr="00EE78A2">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8D74E5" w:rsidRPr="00EE78A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D74E5" w:rsidRPr="00EE78A2" w:rsidRDefault="008D74E5" w:rsidP="00A50B03">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B03" w:rsidRPr="00EE78A2" w:rsidRDefault="005B4D56" w:rsidP="00A50B03">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1</w:t>
            </w:r>
            <w:r w:rsidR="00A50B03" w:rsidRPr="00EE78A2">
              <w:rPr>
                <w:rFonts w:ascii="Times New Roman" w:eastAsia="Times New Roman" w:hAnsi="Times New Roman" w:cs="Times New Roman"/>
                <w:color w:val="000000"/>
                <w:sz w:val="20"/>
                <w:szCs w:val="20"/>
                <w:lang w:val="uk-UA" w:eastAsia="ru-RU"/>
              </w:rPr>
              <w:t xml:space="preserve">.1. Довідка в довільній формі про наявність обладнання, матеріально-технічної бази </w:t>
            </w:r>
            <w:r w:rsidR="00A50B03" w:rsidRPr="00EE78A2">
              <w:rPr>
                <w:rFonts w:ascii="Times New Roman" w:eastAsia="Times New Roman" w:hAnsi="Times New Roman" w:cs="Times New Roman"/>
                <w:sz w:val="20"/>
                <w:szCs w:val="20"/>
                <w:lang w:val="uk-UA" w:eastAsia="ru-RU"/>
              </w:rPr>
              <w:t>та</w:t>
            </w:r>
            <w:r w:rsidR="00A50B03" w:rsidRPr="00EE78A2">
              <w:rPr>
                <w:rFonts w:ascii="Times New Roman" w:eastAsia="Times New Roman" w:hAnsi="Times New Roman" w:cs="Times New Roman"/>
                <w:color w:val="000000"/>
                <w:sz w:val="20"/>
                <w:szCs w:val="20"/>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A50B03" w:rsidRPr="00EE78A2" w:rsidRDefault="00A50B03" w:rsidP="00A50B03">
            <w:pPr>
              <w:widowControl w:val="0"/>
              <w:tabs>
                <w:tab w:val="left" w:pos="1701"/>
              </w:tabs>
              <w:kinsoku w:val="0"/>
              <w:overflowPunct w:val="0"/>
              <w:autoSpaceDE w:val="0"/>
              <w:autoSpaceDN w:val="0"/>
              <w:spacing w:after="0" w:line="240" w:lineRule="auto"/>
              <w:outlineLvl w:val="1"/>
              <w:rPr>
                <w:rFonts w:ascii="Times New Roman" w:hAnsi="Times New Roman" w:cs="Times New Roman"/>
                <w:color w:val="000000"/>
                <w:sz w:val="20"/>
                <w:szCs w:val="20"/>
                <w:lang w:val="uk-UA"/>
              </w:rPr>
            </w:pPr>
            <w:r w:rsidRPr="00EE78A2">
              <w:rPr>
                <w:rFonts w:ascii="Times New Roman" w:hAnsi="Times New Roman" w:cs="Times New Roman"/>
                <w:color w:val="000000"/>
                <w:sz w:val="20"/>
                <w:szCs w:val="20"/>
              </w:rPr>
              <w:t>Відомості про матеріально-технічн</w:t>
            </w:r>
            <w:r w:rsidRPr="00EE78A2">
              <w:rPr>
                <w:rFonts w:ascii="Times New Roman" w:hAnsi="Times New Roman" w:cs="Times New Roman"/>
                <w:color w:val="000000"/>
                <w:sz w:val="20"/>
                <w:szCs w:val="20"/>
                <w:lang w:val="uk-UA"/>
              </w:rPr>
              <w:t>у базу: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49"/>
              <w:gridCol w:w="851"/>
              <w:gridCol w:w="992"/>
              <w:gridCol w:w="1134"/>
              <w:gridCol w:w="709"/>
              <w:gridCol w:w="708"/>
            </w:tblGrid>
            <w:tr w:rsidR="00A50B03" w:rsidRPr="00EE78A2" w:rsidTr="00902CD5">
              <w:tc>
                <w:tcPr>
                  <w:tcW w:w="648"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 п/п</w:t>
                  </w:r>
                </w:p>
              </w:tc>
              <w:tc>
                <w:tcPr>
                  <w:tcW w:w="1649"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Найменування</w:t>
                  </w:r>
                </w:p>
              </w:tc>
              <w:tc>
                <w:tcPr>
                  <w:tcW w:w="851"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Марка/ модель</w:t>
                  </w:r>
                </w:p>
              </w:tc>
              <w:tc>
                <w:tcPr>
                  <w:tcW w:w="992"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Рік випуску</w:t>
                  </w:r>
                </w:p>
              </w:tc>
              <w:tc>
                <w:tcPr>
                  <w:tcW w:w="1134"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Належ-ність (власний, орендо-ваний)</w:t>
                  </w:r>
                </w:p>
              </w:tc>
              <w:tc>
                <w:tcPr>
                  <w:tcW w:w="709"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Кіль-кість оди-ниць</w:t>
                  </w:r>
                </w:p>
              </w:tc>
              <w:tc>
                <w:tcPr>
                  <w:tcW w:w="708"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При-мітки</w:t>
                  </w:r>
                </w:p>
              </w:tc>
            </w:tr>
          </w:tbl>
          <w:p w:rsidR="008D74E5" w:rsidRPr="00EE78A2" w:rsidRDefault="008D74E5">
            <w:pPr>
              <w:spacing w:after="0" w:line="240" w:lineRule="auto"/>
              <w:jc w:val="both"/>
              <w:rPr>
                <w:rFonts w:ascii="Times New Roman" w:eastAsia="Times New Roman" w:hAnsi="Times New Roman" w:cs="Times New Roman"/>
                <w:color w:val="FF0000"/>
                <w:sz w:val="20"/>
                <w:szCs w:val="20"/>
                <w:highlight w:val="yellow"/>
              </w:rPr>
            </w:pPr>
          </w:p>
        </w:tc>
      </w:tr>
      <w:tr w:rsidR="008D74E5" w:rsidRPr="00EE78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D74E5" w:rsidRPr="00EE78A2" w:rsidRDefault="008D74E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D56" w:rsidRPr="00EE78A2" w:rsidRDefault="005B4D56" w:rsidP="005B4D56">
            <w:pPr>
              <w:spacing w:after="0" w:line="240" w:lineRule="auto"/>
              <w:jc w:val="both"/>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2.1. Довідка про наявність в учасника, працівників відповідної кваліфікації, які мають необхідні знання та досвід за формою Таблиці 1.</w:t>
            </w:r>
          </w:p>
          <w:p w:rsidR="005B4D56" w:rsidRPr="00EE78A2" w:rsidRDefault="005B4D56" w:rsidP="005B4D56">
            <w:pPr>
              <w:spacing w:after="0" w:line="240" w:lineRule="auto"/>
              <w:jc w:val="right"/>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 xml:space="preserve">Таблиця 1  </w:t>
            </w:r>
          </w:p>
          <w:tbl>
            <w:tblPr>
              <w:tblStyle w:val="af"/>
              <w:tblW w:w="0" w:type="auto"/>
              <w:tblLayout w:type="fixed"/>
              <w:tblLook w:val="04A0" w:firstRow="1" w:lastRow="0" w:firstColumn="1" w:lastColumn="0" w:noHBand="0" w:noVBand="1"/>
            </w:tblPr>
            <w:tblGrid>
              <w:gridCol w:w="1463"/>
              <w:gridCol w:w="1657"/>
              <w:gridCol w:w="1281"/>
              <w:gridCol w:w="1134"/>
              <w:gridCol w:w="1087"/>
            </w:tblGrid>
            <w:tr w:rsidR="005B4D56" w:rsidRPr="00EE78A2" w:rsidTr="005B4D56">
              <w:tc>
                <w:tcPr>
                  <w:tcW w:w="6622" w:type="dxa"/>
                  <w:gridSpan w:val="5"/>
                </w:tcPr>
                <w:p w:rsidR="005B4D56" w:rsidRPr="00EE78A2" w:rsidRDefault="005B4D56" w:rsidP="005B4D56">
                  <w:pPr>
                    <w:jc w:val="center"/>
                    <w:rPr>
                      <w:rFonts w:ascii="Times New Roman" w:hAnsi="Times New Roman" w:cs="Times New Roman"/>
                      <w:b/>
                      <w:bCs/>
                      <w:sz w:val="20"/>
                      <w:szCs w:val="20"/>
                      <w:lang w:val="uk-UA"/>
                    </w:rPr>
                  </w:pPr>
                  <w:r w:rsidRPr="00EE78A2">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5B4D56" w:rsidRPr="00EE78A2" w:rsidTr="005B4D56">
              <w:tc>
                <w:tcPr>
                  <w:tcW w:w="1463"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П. І. Б</w:t>
                  </w:r>
                </w:p>
              </w:tc>
              <w:tc>
                <w:tcPr>
                  <w:tcW w:w="1657" w:type="dxa"/>
                </w:tcPr>
                <w:p w:rsidR="005B4D56" w:rsidRPr="00EE78A2" w:rsidRDefault="005B4D56" w:rsidP="005B4D56">
                  <w:pPr>
                    <w:rPr>
                      <w:rFonts w:ascii="Times New Roman" w:hAnsi="Times New Roman" w:cs="Times New Roman"/>
                      <w:sz w:val="20"/>
                      <w:szCs w:val="20"/>
                      <w:lang w:val="uk-UA"/>
                    </w:rPr>
                  </w:pPr>
                  <w:r w:rsidRPr="00EE78A2">
                    <w:rPr>
                      <w:rFonts w:ascii="Times New Roman" w:hAnsi="Times New Roman" w:cs="Times New Roman"/>
                      <w:sz w:val="20"/>
                      <w:szCs w:val="20"/>
                      <w:lang w:val="uk-UA"/>
                    </w:rPr>
                    <w:t>Посада</w:t>
                  </w:r>
                </w:p>
              </w:tc>
              <w:tc>
                <w:tcPr>
                  <w:tcW w:w="1281"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загальний стаж роботи</w:t>
                  </w:r>
                </w:p>
              </w:tc>
              <w:tc>
                <w:tcPr>
                  <w:tcW w:w="1134"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освіта</w:t>
                  </w:r>
                </w:p>
              </w:tc>
              <w:tc>
                <w:tcPr>
                  <w:tcW w:w="1087" w:type="dxa"/>
                </w:tcPr>
                <w:p w:rsidR="005B4D56" w:rsidRPr="00EE78A2" w:rsidRDefault="005B4D56" w:rsidP="005B4D56">
                  <w:pPr>
                    <w:rPr>
                      <w:rFonts w:ascii="Times New Roman" w:hAnsi="Times New Roman" w:cs="Times New Roman"/>
                      <w:sz w:val="20"/>
                      <w:szCs w:val="20"/>
                      <w:lang w:val="uk-UA"/>
                    </w:rPr>
                  </w:pPr>
                  <w:r w:rsidRPr="00EE78A2">
                    <w:rPr>
                      <w:rFonts w:ascii="Times New Roman" w:hAnsi="Times New Roman" w:cs="Times New Roman"/>
                      <w:sz w:val="20"/>
                      <w:szCs w:val="20"/>
                      <w:lang w:val="uk-UA"/>
                    </w:rPr>
                    <w:t>Примітки</w:t>
                  </w:r>
                </w:p>
              </w:tc>
            </w:tr>
            <w:tr w:rsidR="005B4D56" w:rsidRPr="00EE78A2" w:rsidTr="005B4D56">
              <w:tc>
                <w:tcPr>
                  <w:tcW w:w="1463" w:type="dxa"/>
                </w:tcPr>
                <w:p w:rsidR="005B4D56" w:rsidRPr="00EE78A2" w:rsidRDefault="005B4D56" w:rsidP="005B4D56">
                  <w:pPr>
                    <w:rPr>
                      <w:rFonts w:ascii="Times New Roman" w:hAnsi="Times New Roman" w:cs="Times New Roman"/>
                      <w:sz w:val="20"/>
                      <w:szCs w:val="20"/>
                      <w:lang w:val="uk-UA"/>
                    </w:rPr>
                  </w:pPr>
                </w:p>
              </w:tc>
              <w:tc>
                <w:tcPr>
                  <w:tcW w:w="1657" w:type="dxa"/>
                </w:tcPr>
                <w:p w:rsidR="005B4D56" w:rsidRPr="00EE78A2" w:rsidRDefault="005B4D56" w:rsidP="005B4D56">
                  <w:pPr>
                    <w:rPr>
                      <w:rFonts w:ascii="Times New Roman" w:hAnsi="Times New Roman" w:cs="Times New Roman"/>
                      <w:sz w:val="20"/>
                      <w:szCs w:val="20"/>
                      <w:lang w:val="uk-UA"/>
                    </w:rPr>
                  </w:pPr>
                </w:p>
              </w:tc>
              <w:tc>
                <w:tcPr>
                  <w:tcW w:w="1281" w:type="dxa"/>
                </w:tcPr>
                <w:p w:rsidR="005B4D56" w:rsidRPr="00EE78A2" w:rsidRDefault="005B4D56" w:rsidP="005B4D56">
                  <w:pPr>
                    <w:rPr>
                      <w:rFonts w:ascii="Times New Roman" w:hAnsi="Times New Roman" w:cs="Times New Roman"/>
                      <w:sz w:val="20"/>
                      <w:szCs w:val="20"/>
                      <w:lang w:val="uk-UA"/>
                    </w:rPr>
                  </w:pPr>
                </w:p>
              </w:tc>
              <w:tc>
                <w:tcPr>
                  <w:tcW w:w="1134" w:type="dxa"/>
                </w:tcPr>
                <w:p w:rsidR="005B4D56" w:rsidRPr="00EE78A2" w:rsidRDefault="005B4D56" w:rsidP="005B4D56">
                  <w:pPr>
                    <w:rPr>
                      <w:rFonts w:ascii="Times New Roman" w:hAnsi="Times New Roman" w:cs="Times New Roman"/>
                      <w:sz w:val="20"/>
                      <w:szCs w:val="20"/>
                      <w:lang w:val="uk-UA"/>
                    </w:rPr>
                  </w:pPr>
                </w:p>
              </w:tc>
              <w:tc>
                <w:tcPr>
                  <w:tcW w:w="1087" w:type="dxa"/>
                </w:tcPr>
                <w:p w:rsidR="005B4D56" w:rsidRPr="00EE78A2" w:rsidRDefault="005B4D56" w:rsidP="005B4D56">
                  <w:pPr>
                    <w:rPr>
                      <w:rFonts w:ascii="Times New Roman" w:hAnsi="Times New Roman" w:cs="Times New Roman"/>
                      <w:sz w:val="20"/>
                      <w:szCs w:val="20"/>
                      <w:lang w:val="uk-UA"/>
                    </w:rPr>
                  </w:pPr>
                </w:p>
              </w:tc>
            </w:tr>
          </w:tbl>
          <w:p w:rsidR="008D74E5" w:rsidRPr="00EE78A2" w:rsidRDefault="008D74E5">
            <w:pPr>
              <w:spacing w:after="0" w:line="240" w:lineRule="auto"/>
              <w:jc w:val="both"/>
              <w:rPr>
                <w:rFonts w:ascii="Times New Roman" w:eastAsia="Times New Roman" w:hAnsi="Times New Roman" w:cs="Times New Roman"/>
                <w:sz w:val="20"/>
                <w:szCs w:val="20"/>
              </w:rPr>
            </w:pPr>
          </w:p>
        </w:tc>
      </w:tr>
      <w:tr w:rsidR="008D74E5" w:rsidRPr="00EE78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EE78A2">
              <w:rPr>
                <w:rFonts w:ascii="Times New Roman" w:eastAsia="Times New Roman" w:hAnsi="Times New Roman" w:cs="Times New Roman"/>
                <w:color w:val="000000"/>
                <w:sz w:val="20"/>
                <w:szCs w:val="20"/>
              </w:rPr>
              <w:t>виконання  аналогічного</w:t>
            </w:r>
            <w:proofErr w:type="gramEnd"/>
            <w:r w:rsidRPr="00EE78A2">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B4D56" w:rsidRPr="00EE78A2" w:rsidRDefault="005B4D56" w:rsidP="005B4D56">
            <w:pPr>
              <w:spacing w:after="0" w:line="240" w:lineRule="auto"/>
              <w:jc w:val="both"/>
              <w:rPr>
                <w:rFonts w:ascii="Times New Roman" w:eastAsia="Times New Roman" w:hAnsi="Times New Roman" w:cs="Times New Roman"/>
                <w:b/>
                <w:i/>
                <w:color w:val="000000"/>
                <w:sz w:val="20"/>
                <w:szCs w:val="20"/>
                <w:lang w:val="uk-UA"/>
              </w:rPr>
            </w:pPr>
            <w:r w:rsidRPr="00EE78A2">
              <w:rPr>
                <w:rFonts w:ascii="Times New Roman" w:eastAsia="Times New Roman" w:hAnsi="Times New Roman" w:cs="Times New Roman"/>
                <w:b/>
                <w:i/>
                <w:color w:val="000000"/>
                <w:sz w:val="20"/>
                <w:szCs w:val="20"/>
              </w:rPr>
              <w:t xml:space="preserve">Аналогічним вважається договір </w:t>
            </w:r>
            <w:r w:rsidRPr="00EE78A2">
              <w:rPr>
                <w:rFonts w:ascii="Times New Roman" w:eastAsia="Times New Roman" w:hAnsi="Times New Roman" w:cs="Times New Roman"/>
                <w:b/>
                <w:i/>
                <w:color w:val="000000"/>
                <w:sz w:val="20"/>
                <w:szCs w:val="20"/>
                <w:lang w:val="uk-UA"/>
              </w:rPr>
              <w:t>за предметом закупівлі згідно коду ДК 021:2015- 50110000-9.</w:t>
            </w:r>
          </w:p>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3.1.2. не менше 1 копії договору, зазначеного </w:t>
            </w:r>
            <w:r w:rsidRPr="00EE78A2">
              <w:rPr>
                <w:rFonts w:ascii="Times New Roman" w:eastAsia="Times New Roman" w:hAnsi="Times New Roman" w:cs="Times New Roman"/>
                <w:sz w:val="20"/>
                <w:szCs w:val="20"/>
              </w:rPr>
              <w:t>в</w:t>
            </w:r>
            <w:r w:rsidRPr="00EE78A2">
              <w:rPr>
                <w:rFonts w:ascii="Times New Roman" w:eastAsia="Times New Roman" w:hAnsi="Times New Roman" w:cs="Times New Roman"/>
                <w:color w:val="000000"/>
                <w:sz w:val="20"/>
                <w:szCs w:val="20"/>
              </w:rPr>
              <w:t xml:space="preserve"> довідці </w:t>
            </w:r>
            <w:r w:rsidRPr="00EE78A2">
              <w:rPr>
                <w:rFonts w:ascii="Times New Roman" w:eastAsia="Times New Roman" w:hAnsi="Times New Roman" w:cs="Times New Roman"/>
                <w:sz w:val="20"/>
                <w:szCs w:val="20"/>
              </w:rPr>
              <w:t>в</w:t>
            </w:r>
            <w:r w:rsidRPr="00EE78A2">
              <w:rPr>
                <w:rFonts w:ascii="Times New Roman" w:eastAsia="Times New Roman" w:hAnsi="Times New Roman" w:cs="Times New Roman"/>
                <w:color w:val="000000"/>
                <w:sz w:val="20"/>
                <w:szCs w:val="20"/>
              </w:rPr>
              <w:t xml:space="preserve"> повному обсязі,</w:t>
            </w:r>
          </w:p>
          <w:p w:rsidR="005B4D56" w:rsidRPr="00EE78A2" w:rsidRDefault="005B4D56" w:rsidP="005B4D56">
            <w:pPr>
              <w:spacing w:after="0" w:line="240" w:lineRule="auto"/>
              <w:jc w:val="both"/>
              <w:rPr>
                <w:rFonts w:ascii="Times New Roman" w:eastAsia="Times New Roman" w:hAnsi="Times New Roman" w:cs="Times New Roman"/>
                <w:sz w:val="20"/>
                <w:szCs w:val="20"/>
                <w:highlight w:val="white"/>
              </w:rPr>
            </w:pPr>
            <w:r w:rsidRPr="00EE78A2">
              <w:rPr>
                <w:rFonts w:ascii="Times New Roman" w:eastAsia="Times New Roman" w:hAnsi="Times New Roman" w:cs="Times New Roman"/>
                <w:color w:val="000000"/>
                <w:sz w:val="20"/>
                <w:szCs w:val="20"/>
              </w:rPr>
              <w:t>3.1.3. копії/ю документів/</w:t>
            </w:r>
            <w:r w:rsidRPr="00EE78A2">
              <w:rPr>
                <w:rFonts w:ascii="Times New Roman" w:eastAsia="Times New Roman" w:hAnsi="Times New Roman" w:cs="Times New Roman"/>
                <w:sz w:val="20"/>
                <w:szCs w:val="20"/>
              </w:rPr>
              <w:t>а</w:t>
            </w:r>
            <w:r w:rsidRPr="00EE78A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EE78A2">
              <w:rPr>
                <w:rFonts w:ascii="Times New Roman" w:eastAsia="Times New Roman" w:hAnsi="Times New Roman" w:cs="Times New Roman"/>
                <w:color w:val="000000"/>
                <w:sz w:val="20"/>
                <w:szCs w:val="20"/>
                <w:highlight w:val="white"/>
              </w:rPr>
              <w:t>наченого в наданій Учасником довідці. </w:t>
            </w:r>
          </w:p>
          <w:p w:rsidR="008D74E5" w:rsidRPr="00EE78A2" w:rsidRDefault="008D74E5">
            <w:pPr>
              <w:spacing w:after="0" w:line="240" w:lineRule="auto"/>
              <w:jc w:val="both"/>
              <w:rPr>
                <w:rFonts w:ascii="Times New Roman" w:eastAsia="Times New Roman" w:hAnsi="Times New Roman" w:cs="Times New Roman"/>
                <w:sz w:val="20"/>
                <w:szCs w:val="20"/>
              </w:rPr>
            </w:pPr>
          </w:p>
        </w:tc>
      </w:tr>
    </w:tbl>
    <w:p w:rsidR="008D74E5" w:rsidRPr="00EE78A2" w:rsidRDefault="00E25902">
      <w:pPr>
        <w:spacing w:before="240" w:after="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4E5" w:rsidRPr="00EE78A2" w:rsidRDefault="00E25902">
      <w:pPr>
        <w:spacing w:before="20" w:after="20" w:line="240" w:lineRule="auto"/>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 xml:space="preserve">2. </w:t>
      </w:r>
      <w:r w:rsidRPr="00EE78A2">
        <w:rPr>
          <w:rFonts w:ascii="Times New Roman" w:eastAsia="Times New Roman" w:hAnsi="Times New Roman" w:cs="Times New Roman"/>
          <w:b/>
          <w:color w:val="000000"/>
          <w:sz w:val="20"/>
          <w:szCs w:val="20"/>
        </w:rPr>
        <w:t xml:space="preserve">Підтвердження відповідності </w:t>
      </w:r>
      <w:proofErr w:type="gramStart"/>
      <w:r w:rsidRPr="00EE78A2">
        <w:rPr>
          <w:rFonts w:ascii="Times New Roman" w:eastAsia="Times New Roman" w:hAnsi="Times New Roman" w:cs="Times New Roman"/>
          <w:b/>
          <w:color w:val="000000"/>
          <w:sz w:val="20"/>
          <w:szCs w:val="20"/>
        </w:rPr>
        <w:t>УЧАСНИКА  вимогам</w:t>
      </w:r>
      <w:proofErr w:type="gramEnd"/>
      <w:r w:rsidRPr="00EE78A2">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8D74E5" w:rsidRPr="00EE78A2" w:rsidRDefault="00E25902">
      <w:pPr>
        <w:spacing w:before="20" w:after="2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74E5" w:rsidRPr="00EE78A2" w:rsidRDefault="00E25902">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EE78A2">
        <w:rPr>
          <w:rFonts w:ascii="Times New Roman" w:eastAsia="Times New Roman" w:hAnsi="Times New Roman" w:cs="Times New Roman"/>
          <w:sz w:val="20"/>
          <w:szCs w:val="20"/>
        </w:rPr>
        <w:t>до абзацу</w:t>
      </w:r>
      <w:proofErr w:type="gramEnd"/>
      <w:r w:rsidRPr="00EE78A2">
        <w:rPr>
          <w:rFonts w:ascii="Times New Roman" w:eastAsia="Times New Roman" w:hAnsi="Times New Roman" w:cs="Times New Roman"/>
          <w:sz w:val="20"/>
          <w:szCs w:val="20"/>
        </w:rPr>
        <w:t xml:space="preserve"> четвертого пункту 44 Особливостей.</w:t>
      </w:r>
    </w:p>
    <w:p w:rsidR="008D74E5" w:rsidRPr="00EE78A2" w:rsidRDefault="00E2590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 xml:space="preserve">3. </w:t>
      </w:r>
      <w:r w:rsidRPr="00EE78A2">
        <w:rPr>
          <w:rFonts w:ascii="Times New Roman" w:eastAsia="Times New Roman" w:hAnsi="Times New Roman" w:cs="Times New Roman"/>
          <w:b/>
          <w:color w:val="000000"/>
          <w:sz w:val="20"/>
          <w:szCs w:val="20"/>
        </w:rPr>
        <w:t xml:space="preserve">Перелік документів та </w:t>
      </w:r>
      <w:proofErr w:type="gramStart"/>
      <w:r w:rsidRPr="00EE78A2">
        <w:rPr>
          <w:rFonts w:ascii="Times New Roman" w:eastAsia="Times New Roman" w:hAnsi="Times New Roman" w:cs="Times New Roman"/>
          <w:b/>
          <w:color w:val="000000"/>
          <w:sz w:val="20"/>
          <w:szCs w:val="20"/>
        </w:rPr>
        <w:t>інформації  для</w:t>
      </w:r>
      <w:proofErr w:type="gramEnd"/>
      <w:r w:rsidRPr="00EE78A2">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74E5" w:rsidRPr="00EE78A2" w:rsidRDefault="008D74E5">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8D74E5" w:rsidRPr="00EE78A2" w:rsidRDefault="008D74E5">
      <w:pPr>
        <w:spacing w:after="0" w:line="240" w:lineRule="auto"/>
        <w:rPr>
          <w:rFonts w:ascii="Times New Roman" w:eastAsia="Times New Roman" w:hAnsi="Times New Roman" w:cs="Times New Roman"/>
          <w:b/>
          <w:sz w:val="20"/>
          <w:szCs w:val="20"/>
          <w:highlight w:val="yellow"/>
        </w:rPr>
      </w:pPr>
    </w:p>
    <w:p w:rsidR="008D74E5" w:rsidRPr="00EE78A2" w:rsidRDefault="00E25902">
      <w:pPr>
        <w:spacing w:after="0" w:line="240" w:lineRule="auto"/>
        <w:rPr>
          <w:rFonts w:ascii="Times New Roman" w:eastAsia="Times New Roman" w:hAnsi="Times New Roman" w:cs="Times New Roman"/>
          <w:b/>
          <w:color w:val="000000"/>
          <w:sz w:val="20"/>
          <w:szCs w:val="20"/>
        </w:rPr>
      </w:pPr>
      <w:r w:rsidRPr="00EE78A2">
        <w:rPr>
          <w:rFonts w:ascii="Times New Roman" w:eastAsia="Times New Roman" w:hAnsi="Times New Roman" w:cs="Times New Roman"/>
          <w:color w:val="000000"/>
          <w:sz w:val="20"/>
          <w:szCs w:val="20"/>
        </w:rPr>
        <w:t> </w:t>
      </w:r>
      <w:r w:rsidRPr="00EE78A2">
        <w:rPr>
          <w:rFonts w:ascii="Times New Roman" w:eastAsia="Times New Roman" w:hAnsi="Times New Roman" w:cs="Times New Roman"/>
          <w:b/>
          <w:color w:val="000000"/>
          <w:sz w:val="20"/>
          <w:szCs w:val="20"/>
        </w:rPr>
        <w:t xml:space="preserve">3.1. Документи, які </w:t>
      </w:r>
      <w:proofErr w:type="gramStart"/>
      <w:r w:rsidRPr="00EE78A2">
        <w:rPr>
          <w:rFonts w:ascii="Times New Roman" w:eastAsia="Times New Roman" w:hAnsi="Times New Roman" w:cs="Times New Roman"/>
          <w:b/>
          <w:color w:val="000000"/>
          <w:sz w:val="20"/>
          <w:szCs w:val="20"/>
        </w:rPr>
        <w:t>надаються  ПЕРЕМОЖЦЕМ</w:t>
      </w:r>
      <w:proofErr w:type="gramEnd"/>
      <w:r w:rsidRPr="00EE78A2">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D74E5" w:rsidRPr="00EE78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w:t>
            </w:r>
          </w:p>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Вимоги статті 17 Закону</w:t>
            </w:r>
          </w:p>
          <w:p w:rsidR="008D74E5" w:rsidRPr="00EE78A2" w:rsidRDefault="008D74E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D74E5" w:rsidRPr="00EE78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78A2">
              <w:rPr>
                <w:rFonts w:ascii="Times New Roman" w:eastAsia="Times New Roman" w:hAnsi="Times New Roman" w:cs="Times New Roman"/>
                <w:b/>
                <w:sz w:val="20"/>
                <w:szCs w:val="20"/>
              </w:rPr>
              <w:t>я службової (посадової) особи учасника процедури закупівлі</w:t>
            </w:r>
            <w:r w:rsidRPr="00EE78A2">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74E5" w:rsidRPr="00EE78A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E78A2">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EE78A2">
              <w:rPr>
                <w:rFonts w:ascii="Times New Roman" w:eastAsia="Times New Roman" w:hAnsi="Times New Roman" w:cs="Times New Roman"/>
                <w:b/>
                <w:color w:val="000000"/>
                <w:sz w:val="20"/>
                <w:szCs w:val="20"/>
              </w:rPr>
              <w:t>про  відсутність</w:t>
            </w:r>
            <w:proofErr w:type="gramEnd"/>
            <w:r w:rsidRPr="00EE78A2">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sidRPr="00EE78A2">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E78A2">
              <w:rPr>
                <w:rFonts w:ascii="Times New Roman" w:eastAsia="Times New Roman" w:hAnsi="Times New Roman" w:cs="Times New Roman"/>
                <w:b/>
                <w:color w:val="000000"/>
                <w:sz w:val="20"/>
                <w:szCs w:val="20"/>
              </w:rPr>
              <w:t xml:space="preserve"> </w:t>
            </w:r>
            <w:r w:rsidRPr="00EE78A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D74E5" w:rsidRPr="00EE78A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78A2">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8D74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74E5" w:rsidRPr="00EE78A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E78A2">
              <w:rPr>
                <w:rFonts w:ascii="Times New Roman" w:eastAsia="Times New Roman" w:hAnsi="Times New Roman" w:cs="Times New Roman"/>
                <w:sz w:val="20"/>
                <w:szCs w:val="20"/>
              </w:rPr>
              <w:t>—</w:t>
            </w:r>
            <w:r w:rsidRPr="00EE78A2">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Довідка в довільній формі</w:t>
            </w:r>
            <w:r w:rsidRPr="00EE78A2">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EE78A2">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74E5" w:rsidRPr="00EE78A2" w:rsidRDefault="008D74E5">
      <w:pPr>
        <w:spacing w:after="0" w:line="240" w:lineRule="auto"/>
        <w:rPr>
          <w:rFonts w:ascii="Times New Roman" w:eastAsia="Times New Roman" w:hAnsi="Times New Roman" w:cs="Times New Roman"/>
          <w:b/>
          <w:color w:val="000000"/>
          <w:sz w:val="20"/>
          <w:szCs w:val="20"/>
        </w:rPr>
      </w:pPr>
    </w:p>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E78A2">
        <w:rPr>
          <w:rFonts w:ascii="Times New Roman" w:eastAsia="Times New Roman" w:hAnsi="Times New Roman" w:cs="Times New Roman"/>
          <w:b/>
          <w:sz w:val="20"/>
          <w:szCs w:val="20"/>
        </w:rPr>
        <w:t xml:space="preserve"> — </w:t>
      </w:r>
      <w:r w:rsidRPr="00EE78A2">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D74E5" w:rsidRPr="00EE78A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w:t>
            </w:r>
          </w:p>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Вимоги статті 17 Закону</w:t>
            </w:r>
          </w:p>
          <w:p w:rsidR="008D74E5" w:rsidRPr="00EE78A2" w:rsidRDefault="008D74E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D74E5" w:rsidRPr="00EE78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74E5" w:rsidRPr="00EE78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EE78A2">
              <w:rPr>
                <w:rFonts w:ascii="Times New Roman" w:eastAsia="Times New Roman" w:hAnsi="Times New Roman" w:cs="Times New Roman"/>
                <w:b/>
                <w:color w:val="000000"/>
                <w:sz w:val="20"/>
                <w:szCs w:val="20"/>
              </w:rPr>
              <w:t>про  відсутність</w:t>
            </w:r>
            <w:proofErr w:type="gramEnd"/>
            <w:r w:rsidRPr="00EE78A2">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E78A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D74E5" w:rsidRPr="00EE78A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8D74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74E5" w:rsidRPr="00EE78A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E78A2">
              <w:rPr>
                <w:rFonts w:ascii="Times New Roman" w:eastAsia="Times New Roman" w:hAnsi="Times New Roman" w:cs="Times New Roman"/>
                <w:sz w:val="20"/>
                <w:szCs w:val="20"/>
              </w:rPr>
              <w:t>—</w:t>
            </w:r>
            <w:r w:rsidRPr="00EE78A2">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Довідка в довільній формі</w:t>
            </w:r>
            <w:r w:rsidRPr="00EE78A2">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74E5" w:rsidRPr="00EE78A2" w:rsidRDefault="00E25902">
      <w:pPr>
        <w:shd w:val="clear" w:color="auto" w:fill="FFFFFF"/>
        <w:spacing w:before="120"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74E5" w:rsidRPr="00EE78A2" w:rsidRDefault="00E25902">
      <w:pPr>
        <w:shd w:val="clear" w:color="auto" w:fill="FFFFFF"/>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w:t>
      </w:r>
    </w:p>
    <w:p w:rsidR="008D74E5" w:rsidRPr="00EE78A2" w:rsidRDefault="00E25902">
      <w:pPr>
        <w:shd w:val="clear" w:color="auto" w:fill="FFFFFF"/>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EE78A2">
        <w:rPr>
          <w:rFonts w:ascii="Times New Roman" w:eastAsia="Times New Roman" w:hAnsi="Times New Roman" w:cs="Times New Roman"/>
          <w:b/>
          <w:sz w:val="20"/>
          <w:szCs w:val="20"/>
        </w:rPr>
        <w:t>—</w:t>
      </w:r>
      <w:r w:rsidRPr="00EE78A2">
        <w:rPr>
          <w:rFonts w:ascii="Times New Roman" w:eastAsia="Times New Roman" w:hAnsi="Times New Roman" w:cs="Times New Roman"/>
          <w:b/>
          <w:color w:val="000000"/>
          <w:sz w:val="20"/>
          <w:szCs w:val="20"/>
        </w:rPr>
        <w:t xml:space="preserve"> юридичних осіб, фізичних осіб та фізичних осіб</w:t>
      </w:r>
      <w:r w:rsidRPr="00EE78A2">
        <w:rPr>
          <w:rFonts w:ascii="Times New Roman" w:eastAsia="Times New Roman" w:hAnsi="Times New Roman" w:cs="Times New Roman"/>
          <w:b/>
          <w:sz w:val="20"/>
          <w:szCs w:val="20"/>
        </w:rPr>
        <w:t xml:space="preserve"> — </w:t>
      </w:r>
      <w:r w:rsidRPr="00EE78A2">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D74E5" w:rsidRPr="00EE78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Інші документи від Учасника:</w:t>
            </w:r>
          </w:p>
        </w:tc>
      </w:tr>
      <w:tr w:rsidR="008D74E5" w:rsidRPr="00EE78A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E78A2">
              <w:rPr>
                <w:rFonts w:ascii="Times New Roman" w:eastAsia="Times New Roman" w:hAnsi="Times New Roman" w:cs="Times New Roman"/>
                <w:sz w:val="20"/>
                <w:szCs w:val="20"/>
              </w:rPr>
              <w:t xml:space="preserve">— </w:t>
            </w:r>
            <w:r w:rsidRPr="00EE78A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D74E5"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before="240"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E78A2">
              <w:rPr>
                <w:rFonts w:ascii="Times New Roman" w:eastAsia="Times New Roman" w:hAnsi="Times New Roman" w:cs="Times New Roman"/>
                <w:sz w:val="20"/>
                <w:szCs w:val="20"/>
              </w:rPr>
              <w:t>у</w:t>
            </w:r>
            <w:r w:rsidRPr="00EE78A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78A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before="240"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E78A2">
              <w:rPr>
                <w:rFonts w:ascii="Times New Roman" w:eastAsia="Times New Roman" w:hAnsi="Times New Roman" w:cs="Times New Roman"/>
                <w:sz w:val="20"/>
                <w:szCs w:val="20"/>
              </w:rPr>
              <w:t xml:space="preserve"> </w:t>
            </w:r>
            <w:r w:rsidRPr="00EE78A2">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E78A2">
              <w:rPr>
                <w:rFonts w:ascii="Times New Roman" w:eastAsia="Times New Roman" w:hAnsi="Times New Roman" w:cs="Times New Roman"/>
                <w:sz w:val="20"/>
                <w:szCs w:val="20"/>
              </w:rPr>
              <w:t>місця проживання</w:t>
            </w:r>
            <w:r w:rsidRPr="00EE78A2">
              <w:rPr>
                <w:rFonts w:ascii="Times New Roman" w:eastAsia="Times New Roman" w:hAnsi="Times New Roman" w:cs="Times New Roman"/>
                <w:color w:val="000000"/>
                <w:sz w:val="20"/>
                <w:szCs w:val="20"/>
              </w:rPr>
              <w:t xml:space="preserve"> та громадянство.</w:t>
            </w:r>
          </w:p>
          <w:p w:rsidR="00EE78A2" w:rsidRPr="00EE78A2" w:rsidRDefault="00EE78A2" w:rsidP="00EE78A2">
            <w:pPr>
              <w:spacing w:after="0" w:line="240" w:lineRule="auto"/>
              <w:ind w:left="10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sidRPr="00EE78A2">
              <w:rPr>
                <w:rFonts w:ascii="Times New Roman" w:eastAsia="Times New Roman" w:hAnsi="Times New Roman" w:cs="Times New Roman"/>
                <w:i/>
                <w:color w:val="000000"/>
                <w:sz w:val="20"/>
                <w:szCs w:val="20"/>
              </w:rPr>
              <w:t>до пункту</w:t>
            </w:r>
            <w:proofErr w:type="gramEnd"/>
            <w:r w:rsidRPr="00EE78A2">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before="240"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rPr>
            </w:pPr>
            <w:proofErr w:type="gramStart"/>
            <w:r w:rsidRPr="00EE78A2">
              <w:rPr>
                <w:rFonts w:ascii="Times New Roman" w:eastAsia="Times New Roman" w:hAnsi="Times New Roman" w:cs="Times New Roman"/>
                <w:color w:val="000000"/>
                <w:sz w:val="20"/>
                <w:szCs w:val="20"/>
              </w:rPr>
              <w:t>Гарантійний  лист</w:t>
            </w:r>
            <w:proofErr w:type="gramEnd"/>
            <w:r w:rsidRPr="00EE78A2">
              <w:rPr>
                <w:rFonts w:ascii="Times New Roman" w:eastAsia="Times New Roman" w:hAnsi="Times New Roman" w:cs="Times New Roman"/>
                <w:color w:val="000000"/>
                <w:sz w:val="20"/>
                <w:szCs w:val="20"/>
              </w:rPr>
              <w:t xml:space="preserve"> від Учасника  наступного змісту:</w:t>
            </w:r>
          </w:p>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rPr>
            </w:pPr>
            <w:r w:rsidRPr="00EE78A2">
              <w:rPr>
                <w:rFonts w:ascii="Times New Roman" w:eastAsia="Times New Roman" w:hAnsi="Times New Roman" w:cs="Times New Roman"/>
                <w:color w:val="000000"/>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color w:val="000000"/>
                <w:sz w:val="20"/>
                <w:szCs w:val="20"/>
                <w:lang w:val="uk-UA"/>
              </w:rPr>
              <w:t>Інформацію про технічні вимоги до предмету закупівлі згідно додатку 2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EE78A2">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xml:space="preserve">Довідка (інформація) </w:t>
            </w:r>
            <w:proofErr w:type="gramStart"/>
            <w:r w:rsidRPr="00EE78A2">
              <w:rPr>
                <w:rFonts w:ascii="Times New Roman" w:eastAsia="Times New Roman" w:hAnsi="Times New Roman" w:cs="Times New Roman"/>
                <w:sz w:val="20"/>
                <w:szCs w:val="20"/>
              </w:rPr>
              <w:t>про  відсутність</w:t>
            </w:r>
            <w:proofErr w:type="gramEnd"/>
            <w:r w:rsidRPr="00EE78A2">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bl>
    <w:p w:rsidR="008D74E5" w:rsidRPr="00EE78A2" w:rsidRDefault="008D74E5">
      <w:pPr>
        <w:spacing w:after="0" w:line="240" w:lineRule="auto"/>
        <w:rPr>
          <w:rFonts w:ascii="Times New Roman" w:eastAsia="Times New Roman" w:hAnsi="Times New Roman" w:cs="Times New Roman"/>
          <w:sz w:val="20"/>
          <w:szCs w:val="20"/>
        </w:rPr>
      </w:pPr>
    </w:p>
    <w:p w:rsidR="008D74E5" w:rsidRDefault="008D74E5">
      <w:pPr>
        <w:rPr>
          <w:rFonts w:ascii="Times New Roman" w:eastAsia="Times New Roman" w:hAnsi="Times New Roman" w:cs="Times New Roman"/>
          <w:sz w:val="20"/>
          <w:szCs w:val="20"/>
        </w:rPr>
      </w:pPr>
    </w:p>
    <w:sectPr w:rsidR="008D74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53BD"/>
    <w:multiLevelType w:val="multilevel"/>
    <w:tmpl w:val="6B10D3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E5"/>
    <w:rsid w:val="005B4D56"/>
    <w:rsid w:val="00753E79"/>
    <w:rsid w:val="00891B14"/>
    <w:rsid w:val="008D74E5"/>
    <w:rsid w:val="00A50B03"/>
    <w:rsid w:val="00E25902"/>
    <w:rsid w:val="00E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18AC7-02F4-4018-BC09-D46556B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5B4D5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pc0</cp:lastModifiedBy>
  <cp:revision>2</cp:revision>
  <dcterms:created xsi:type="dcterms:W3CDTF">2023-02-01T06:49:00Z</dcterms:created>
  <dcterms:modified xsi:type="dcterms:W3CDTF">2023-02-01T06:49:00Z</dcterms:modified>
</cp:coreProperties>
</file>