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3F241B" w:rsidRPr="003F241B" w:rsidTr="00240033">
        <w:trPr>
          <w:trHeight w:val="14580"/>
        </w:trPr>
        <w:tc>
          <w:tcPr>
            <w:tcW w:w="10523"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240033">
            <w:pPr>
              <w:autoSpaceDE w:val="0"/>
              <w:autoSpaceDN w:val="0"/>
              <w:adjustRightInd w:val="0"/>
              <w:spacing w:after="0" w:line="240" w:lineRule="auto"/>
              <w:ind w:left="776" w:firstLine="208"/>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7B5351">
              <w:rPr>
                <w:rFonts w:ascii="Times New Roman" w:eastAsia="Times New Roman" w:hAnsi="Times New Roman" w:cs="Times New Roman"/>
                <w:bCs/>
                <w:color w:val="000000" w:themeColor="text1"/>
                <w:sz w:val="24"/>
                <w:szCs w:val="24"/>
              </w:rPr>
              <w:t>№</w:t>
            </w:r>
            <w:r w:rsidR="00E26B2E">
              <w:rPr>
                <w:rFonts w:ascii="Times New Roman" w:eastAsia="Times New Roman" w:hAnsi="Times New Roman" w:cs="Times New Roman"/>
                <w:bCs/>
                <w:color w:val="000000" w:themeColor="text1"/>
                <w:sz w:val="24"/>
                <w:szCs w:val="24"/>
              </w:rPr>
              <w:t>18</w:t>
            </w:r>
            <w:r w:rsidR="0035433A" w:rsidRPr="007B5351">
              <w:rPr>
                <w:rFonts w:ascii="Times New Roman" w:eastAsia="Times New Roman" w:hAnsi="Times New Roman" w:cs="Times New Roman"/>
                <w:bCs/>
                <w:color w:val="000000" w:themeColor="text1"/>
                <w:sz w:val="24"/>
                <w:szCs w:val="24"/>
              </w:rPr>
              <w:t xml:space="preserve"> </w:t>
            </w:r>
            <w:r w:rsidR="0035433A" w:rsidRPr="0035433A">
              <w:rPr>
                <w:rFonts w:ascii="Times New Roman" w:eastAsia="Times New Roman" w:hAnsi="Times New Roman" w:cs="Times New Roman"/>
                <w:bCs/>
                <w:color w:val="000000" w:themeColor="text1"/>
                <w:sz w:val="24"/>
                <w:szCs w:val="24"/>
              </w:rPr>
              <w:t>від 12.02</w:t>
            </w:r>
            <w:r w:rsidR="003F241B" w:rsidRPr="0035433A">
              <w:rPr>
                <w:rFonts w:ascii="Times New Roman" w:eastAsia="Times New Roman" w:hAnsi="Times New Roman" w:cs="Times New Roman"/>
                <w:bCs/>
                <w:color w:val="000000" w:themeColor="text1"/>
                <w:sz w:val="24"/>
                <w:szCs w:val="24"/>
              </w:rPr>
              <w:t>.2024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8133D6">
            <w:pPr>
              <w:tabs>
                <w:tab w:val="left" w:pos="6021"/>
              </w:tabs>
              <w:spacing w:after="0" w:line="240" w:lineRule="auto"/>
              <w:ind w:left="6021"/>
              <w:rPr>
                <w:rFonts w:ascii="Times New Roman" w:eastAsia="Times New Roman" w:hAnsi="Times New Roman" w:cs="Times New Roman"/>
                <w:sz w:val="24"/>
                <w:szCs w:val="24"/>
                <w:lang w:eastAsia="ru-RU"/>
              </w:rPr>
            </w:pPr>
            <w:r w:rsidRPr="0035433A">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096DEA" w:rsidRDefault="00844F29" w:rsidP="00844F29">
            <w:pPr>
              <w:spacing w:after="0" w:line="240" w:lineRule="auto"/>
              <w:jc w:val="center"/>
              <w:rPr>
                <w:rFonts w:ascii="Times New Roman" w:eastAsia="Times New Roman" w:hAnsi="Times New Roman" w:cs="Times New Roman"/>
                <w:b/>
                <w:color w:val="000000"/>
                <w:sz w:val="24"/>
                <w:szCs w:val="24"/>
                <w:lang w:eastAsia="ru-RU"/>
              </w:rPr>
            </w:pPr>
            <w:r w:rsidRPr="00096DEA">
              <w:rPr>
                <w:rFonts w:ascii="Times New Roman" w:eastAsia="Times New Roman" w:hAnsi="Times New Roman" w:cs="Times New Roman"/>
                <w:b/>
                <w:color w:val="000000"/>
                <w:sz w:val="24"/>
                <w:szCs w:val="24"/>
                <w:lang w:eastAsia="ru-RU"/>
              </w:rPr>
              <w:t>ТЕНДЕРНА ДОКУМЕНТАЦІЯ</w:t>
            </w:r>
          </w:p>
          <w:p w:rsidR="00844F29" w:rsidRPr="00096DEA" w:rsidRDefault="00844F29" w:rsidP="00844F29">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Відкриті торги з особливостями</w:t>
            </w:r>
          </w:p>
          <w:p w:rsidR="00844F29" w:rsidRPr="00096DEA" w:rsidRDefault="00844F29" w:rsidP="00844F29">
            <w:pPr>
              <w:spacing w:after="0" w:line="240" w:lineRule="auto"/>
              <w:jc w:val="center"/>
              <w:rPr>
                <w:rFonts w:ascii="Times New Roman" w:eastAsia="Times New Roman" w:hAnsi="Times New Roman" w:cs="Times New Roman"/>
                <w:color w:val="000000"/>
                <w:sz w:val="24"/>
                <w:szCs w:val="24"/>
                <w:lang w:eastAsia="ru-RU"/>
              </w:rPr>
            </w:pPr>
            <w:r w:rsidRPr="00096DEA">
              <w:rPr>
                <w:rFonts w:ascii="Times New Roman" w:eastAsia="Times New Roman" w:hAnsi="Times New Roman" w:cs="Times New Roman"/>
                <w:color w:val="000000"/>
                <w:sz w:val="24"/>
                <w:szCs w:val="24"/>
                <w:lang w:eastAsia="ru-RU"/>
              </w:rPr>
              <w:t>Предмет закупівлі</w:t>
            </w:r>
          </w:p>
          <w:p w:rsidR="00844F29" w:rsidRPr="00096DEA"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4"/>
                <w:szCs w:val="24"/>
                <w:lang w:eastAsia="ru-RU"/>
              </w:rPr>
            </w:pPr>
            <w:r w:rsidRPr="00096DEA">
              <w:rPr>
                <w:rFonts w:ascii="Times New Roman" w:eastAsia="Times New Roman" w:hAnsi="Times New Roman" w:cs="Times New Roman"/>
                <w:b/>
                <w:sz w:val="24"/>
                <w:szCs w:val="24"/>
                <w:lang w:eastAsia="ru-RU"/>
              </w:rPr>
              <w:t xml:space="preserve">  </w:t>
            </w:r>
          </w:p>
          <w:p w:rsidR="00736EA5" w:rsidRPr="00096DEA" w:rsidRDefault="00096DEA" w:rsidP="00240033">
            <w:pPr>
              <w:widowControl w:val="0"/>
              <w:autoSpaceDE w:val="0"/>
              <w:autoSpaceDN w:val="0"/>
              <w:adjustRightInd w:val="0"/>
              <w:spacing w:after="0" w:line="240" w:lineRule="auto"/>
              <w:ind w:left="35" w:right="208"/>
              <w:jc w:val="center"/>
              <w:rPr>
                <w:rFonts w:ascii="Times New Roman" w:eastAsia="Times New Roman" w:hAnsi="Times New Roman" w:cs="Times New Roman"/>
                <w:b/>
                <w:bCs/>
                <w:iCs/>
                <w:sz w:val="24"/>
                <w:szCs w:val="24"/>
                <w:lang w:eastAsia="ru-RU"/>
              </w:rPr>
            </w:pPr>
            <w:r w:rsidRPr="00096DEA">
              <w:rPr>
                <w:rFonts w:ascii="Times New Roman" w:eastAsia="Times New Roman" w:hAnsi="Times New Roman" w:cs="Times New Roman"/>
                <w:bCs/>
                <w:iCs/>
                <w:sz w:val="24"/>
                <w:szCs w:val="24"/>
                <w:lang w:eastAsia="ru-RU"/>
              </w:rPr>
              <w:t>(крупа кукурудзяна, крупа булгур, крупа перлова, крупа гречана, крупа ячна, крупа пшоняна, крупа рисова, крупа вівсяна, крупа пшенична, крупа кус-кус, борошо пшеничне вищого сорту)</w:t>
            </w:r>
          </w:p>
          <w:p w:rsidR="00844F29" w:rsidRPr="00096DEA" w:rsidRDefault="00844F29"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096DEA" w:rsidRPr="00096DEA" w:rsidRDefault="00096DEA" w:rsidP="00096DEA">
            <w:pPr>
              <w:tabs>
                <w:tab w:val="left" w:pos="2200"/>
              </w:tabs>
              <w:spacing w:after="0" w:line="240" w:lineRule="auto"/>
              <w:jc w:val="center"/>
              <w:rPr>
                <w:rFonts w:ascii="Times New Roman" w:eastAsia="Times New Roman" w:hAnsi="Times New Roman" w:cs="Times New Roman"/>
                <w:b/>
                <w:sz w:val="24"/>
                <w:szCs w:val="24"/>
                <w:lang w:eastAsia="ar-SA"/>
              </w:rPr>
            </w:pPr>
            <w:r w:rsidRPr="00096DEA">
              <w:rPr>
                <w:rFonts w:ascii="Times New Roman" w:eastAsia="Times New Roman" w:hAnsi="Times New Roman" w:cs="Times New Roman"/>
                <w:b/>
                <w:sz w:val="24"/>
                <w:szCs w:val="24"/>
                <w:lang w:eastAsia="ar-SA"/>
              </w:rPr>
              <w:t xml:space="preserve">«ДК </w:t>
            </w:r>
            <w:r w:rsidRPr="00096DEA">
              <w:rPr>
                <w:rFonts w:ascii="Times New Roman" w:eastAsia="Times New Roman" w:hAnsi="Times New Roman" w:cs="Times New Roman"/>
                <w:b/>
                <w:bCs/>
                <w:sz w:val="24"/>
                <w:szCs w:val="24"/>
                <w:lang w:eastAsia="ru-RU"/>
              </w:rPr>
              <w:t>021:2015 (</w:t>
            </w:r>
            <w:r w:rsidRPr="00096DEA">
              <w:rPr>
                <w:rFonts w:ascii="Times New Roman" w:eastAsia="Times New Roman" w:hAnsi="Times New Roman" w:cs="Times New Roman"/>
                <w:b/>
                <w:bCs/>
                <w:sz w:val="24"/>
                <w:szCs w:val="24"/>
                <w:lang w:val="ru-RU" w:eastAsia="ru-RU"/>
              </w:rPr>
              <w:t>CPV</w:t>
            </w:r>
            <w:r w:rsidRPr="00096DEA">
              <w:rPr>
                <w:rFonts w:ascii="Times New Roman" w:eastAsia="Times New Roman" w:hAnsi="Times New Roman" w:cs="Times New Roman"/>
                <w:b/>
                <w:bCs/>
                <w:sz w:val="24"/>
                <w:szCs w:val="24"/>
                <w:lang w:eastAsia="ru-RU"/>
              </w:rPr>
              <w:t>) 15610000-7 –</w:t>
            </w:r>
            <w:r w:rsidR="007B5351">
              <w:rPr>
                <w:rFonts w:ascii="Times New Roman" w:eastAsia="Times New Roman" w:hAnsi="Times New Roman" w:cs="Times New Roman"/>
                <w:b/>
                <w:bCs/>
                <w:sz w:val="24"/>
                <w:szCs w:val="24"/>
                <w:lang w:eastAsia="ru-RU"/>
              </w:rPr>
              <w:t xml:space="preserve"> «</w:t>
            </w:r>
            <w:r w:rsidRPr="00096DEA">
              <w:rPr>
                <w:rFonts w:ascii="Times New Roman" w:eastAsia="Times New Roman" w:hAnsi="Times New Roman" w:cs="Times New Roman"/>
                <w:b/>
                <w:bCs/>
                <w:sz w:val="24"/>
                <w:szCs w:val="24"/>
                <w:lang w:eastAsia="ru-RU"/>
              </w:rPr>
              <w:t>Продукція борошномельно-круп'яної промисловості</w:t>
            </w:r>
            <w:r w:rsidRPr="00096DEA">
              <w:rPr>
                <w:rFonts w:ascii="Times New Roman" w:eastAsia="Times New Roman" w:hAnsi="Times New Roman" w:cs="Times New Roman"/>
                <w:b/>
                <w:sz w:val="24"/>
                <w:szCs w:val="24"/>
                <w:lang w:eastAsia="ar-SA"/>
              </w:rPr>
              <w:t xml:space="preserve">» </w:t>
            </w:r>
          </w:p>
          <w:p w:rsidR="003F241B" w:rsidRPr="00096DEA"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096DEA"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2D439D">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1855E8" w:rsidRDefault="001855E8" w:rsidP="003F241B">
            <w:pPr>
              <w:spacing w:after="0" w:line="240" w:lineRule="auto"/>
              <w:jc w:val="center"/>
              <w:rPr>
                <w:rFonts w:ascii="Times New Roman" w:eastAsia="Times New Roman" w:hAnsi="Times New Roman" w:cs="Times New Roman"/>
                <w:bCs/>
                <w:sz w:val="24"/>
                <w:szCs w:val="24"/>
                <w:lang w:eastAsia="ru-RU"/>
              </w:rPr>
            </w:pPr>
          </w:p>
          <w:p w:rsidR="001855E8" w:rsidRDefault="001855E8" w:rsidP="003F241B">
            <w:pPr>
              <w:spacing w:after="0" w:line="240" w:lineRule="auto"/>
              <w:jc w:val="center"/>
              <w:rPr>
                <w:rFonts w:ascii="Times New Roman" w:eastAsia="Times New Roman" w:hAnsi="Times New Roman" w:cs="Times New Roman"/>
                <w:bCs/>
                <w:sz w:val="24"/>
                <w:szCs w:val="24"/>
                <w:lang w:eastAsia="ru-RU"/>
              </w:rPr>
            </w:pPr>
          </w:p>
          <w:p w:rsidR="001855E8" w:rsidRDefault="001855E8" w:rsidP="00DF295E">
            <w:pPr>
              <w:spacing w:after="0" w:line="240" w:lineRule="auto"/>
              <w:rPr>
                <w:rFonts w:ascii="Times New Roman" w:eastAsia="Times New Roman" w:hAnsi="Times New Roman" w:cs="Times New Roman"/>
                <w:bCs/>
                <w:sz w:val="24"/>
                <w:szCs w:val="24"/>
                <w:lang w:eastAsia="ru-RU"/>
              </w:rPr>
            </w:pPr>
          </w:p>
          <w:p w:rsidR="00DF295E" w:rsidRPr="003F241B" w:rsidRDefault="00DF295E" w:rsidP="00DF295E">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AB55AD">
        <w:trPr>
          <w:trHeight w:val="2154"/>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AB55AD" w:rsidRPr="00AB55AD" w:rsidRDefault="00DF295E" w:rsidP="00AB55AD">
            <w:pPr>
              <w:tabs>
                <w:tab w:val="left" w:pos="2200"/>
              </w:tabs>
              <w:spacing w:after="0" w:line="240" w:lineRule="auto"/>
              <w:ind w:left="196" w:right="220" w:hanging="196"/>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ru-RU"/>
              </w:rPr>
              <w:t xml:space="preserve">     </w:t>
            </w:r>
            <w:r w:rsidR="00AB55AD" w:rsidRPr="00BA5952">
              <w:rPr>
                <w:rFonts w:ascii="Times New Roman" w:eastAsia="Times New Roman" w:hAnsi="Times New Roman" w:cs="Times New Roman"/>
                <w:bCs/>
                <w:i/>
                <w:iCs/>
                <w:sz w:val="24"/>
                <w:szCs w:val="24"/>
                <w:lang w:eastAsia="ru-RU"/>
              </w:rPr>
              <w:t>Крупа кукурудзяна, крупа булгур, крупа перлова, крупа гречана, крупа ячна, крупа пшоняна, крупа рисова, крупа вівсяна, крупа пшенична, крупа кус-кус, борошо пшеничне вищого сорту</w:t>
            </w:r>
            <w:r w:rsidR="00AB55AD">
              <w:rPr>
                <w:rFonts w:ascii="Times New Roman" w:eastAsia="Times New Roman" w:hAnsi="Times New Roman" w:cs="Times New Roman"/>
                <w:bCs/>
                <w:color w:val="000000"/>
                <w:sz w:val="24"/>
                <w:szCs w:val="24"/>
                <w:lang w:eastAsia="ru-RU"/>
              </w:rPr>
              <w:t xml:space="preserve"> </w:t>
            </w:r>
            <w:r w:rsidR="00167BFF" w:rsidRPr="00AB55AD">
              <w:rPr>
                <w:rFonts w:ascii="Times New Roman" w:eastAsia="Times New Roman" w:hAnsi="Times New Roman" w:cs="Times New Roman"/>
                <w:bCs/>
                <w:color w:val="000000"/>
                <w:sz w:val="24"/>
                <w:szCs w:val="24"/>
                <w:lang w:eastAsia="ru-RU"/>
              </w:rPr>
              <w:t>на</w:t>
            </w:r>
            <w:r w:rsidR="00D64C2C">
              <w:rPr>
                <w:rFonts w:ascii="Times New Roman" w:eastAsia="Times New Roman" w:hAnsi="Times New Roman" w:cs="Times New Roman"/>
                <w:bCs/>
                <w:color w:val="000000"/>
                <w:sz w:val="24"/>
                <w:szCs w:val="24"/>
                <w:lang w:eastAsia="ru-RU"/>
              </w:rPr>
              <w:t xml:space="preserve"> </w:t>
            </w:r>
            <w:r w:rsidR="003F241B" w:rsidRPr="008370EB">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411774">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167BFF" w:rsidRPr="00AB55AD">
              <w:rPr>
                <w:rFonts w:ascii="Times New Roman" w:eastAsia="Times New Roman" w:hAnsi="Times New Roman" w:cs="Times New Roman"/>
                <w:bCs/>
                <w:iCs/>
                <w:sz w:val="28"/>
                <w:szCs w:val="28"/>
                <w:lang w:eastAsia="ru-RU"/>
              </w:rPr>
              <w:t xml:space="preserve"> </w:t>
            </w:r>
            <w:r w:rsidR="00AB55AD">
              <w:rPr>
                <w:rFonts w:ascii="Times New Roman" w:eastAsia="Times New Roman" w:hAnsi="Times New Roman" w:cs="Times New Roman"/>
                <w:bCs/>
                <w:sz w:val="24"/>
                <w:szCs w:val="24"/>
                <w:lang w:eastAsia="ru-RU"/>
              </w:rPr>
              <w:t>15610000-7</w:t>
            </w:r>
            <w:r w:rsidR="00AB55AD" w:rsidRPr="00AB55AD">
              <w:rPr>
                <w:rFonts w:ascii="Times New Roman" w:eastAsia="Times New Roman" w:hAnsi="Times New Roman" w:cs="Times New Roman"/>
                <w:bCs/>
                <w:sz w:val="24"/>
                <w:szCs w:val="24"/>
                <w:lang w:eastAsia="ru-RU"/>
              </w:rPr>
              <w:t>–</w:t>
            </w:r>
            <w:r w:rsidR="00AB55AD" w:rsidRPr="00BA5952">
              <w:rPr>
                <w:rFonts w:ascii="Times New Roman" w:eastAsia="Times New Roman" w:hAnsi="Times New Roman" w:cs="Times New Roman"/>
                <w:bCs/>
                <w:sz w:val="24"/>
                <w:szCs w:val="24"/>
                <w:lang w:eastAsia="ru-RU"/>
              </w:rPr>
              <w:t>Продукція борошномельно-круп'яної промисловості</w:t>
            </w:r>
            <w:r w:rsidR="00AB55AD" w:rsidRPr="00BA5952">
              <w:rPr>
                <w:rFonts w:ascii="Times New Roman" w:eastAsia="Times New Roman" w:hAnsi="Times New Roman" w:cs="Times New Roman"/>
                <w:sz w:val="24"/>
                <w:szCs w:val="24"/>
                <w:lang w:eastAsia="ar-SA"/>
              </w:rPr>
              <w:t>.</w:t>
            </w:r>
            <w:r w:rsidR="00AB55AD" w:rsidRPr="00AB55AD">
              <w:rPr>
                <w:rFonts w:ascii="Times New Roman" w:eastAsia="Times New Roman" w:hAnsi="Times New Roman" w:cs="Times New Roman"/>
                <w:sz w:val="24"/>
                <w:szCs w:val="24"/>
                <w:lang w:eastAsia="ar-SA"/>
              </w:rPr>
              <w:t xml:space="preserve"> </w:t>
            </w:r>
          </w:p>
          <w:p w:rsidR="003F241B" w:rsidRPr="00AB55AD" w:rsidRDefault="003F241B" w:rsidP="00AB55AD">
            <w:pPr>
              <w:tabs>
                <w:tab w:val="left" w:pos="2200"/>
              </w:tabs>
              <w:ind w:left="136" w:right="220"/>
              <w:jc w:val="both"/>
              <w:rPr>
                <w:rFonts w:ascii="Times New Roman" w:eastAsia="Times New Roman" w:hAnsi="Times New Roman" w:cs="Times New Roman"/>
                <w:bCs/>
                <w:iCs/>
                <w:color w:val="000000"/>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C7016D" w:rsidRDefault="00325012"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sidRPr="00975EAE">
              <w:rPr>
                <w:rFonts w:ascii="Times New Roman" w:eastAsia="Times New Roman" w:hAnsi="Times New Roman" w:cs="Times New Roman"/>
                <w:bCs/>
                <w:color w:val="000000" w:themeColor="text1"/>
                <w:sz w:val="24"/>
                <w:szCs w:val="20"/>
                <w:lang w:eastAsia="ru-RU"/>
              </w:rPr>
              <w:t>-</w:t>
            </w:r>
            <w:r w:rsidR="00167BFF" w:rsidRPr="00167BFF">
              <w:rPr>
                <w:rFonts w:ascii="Times New Roman" w:eastAsia="Times New Roman" w:hAnsi="Times New Roman" w:cs="Times New Roman"/>
                <w:bCs/>
                <w:iCs/>
                <w:color w:val="000000"/>
                <w:sz w:val="24"/>
                <w:szCs w:val="24"/>
                <w:lang w:eastAsia="ru-RU"/>
              </w:rPr>
              <w:t xml:space="preserve"> </w:t>
            </w:r>
            <w:r w:rsidRPr="00975EAE">
              <w:rPr>
                <w:rFonts w:ascii="Times New Roman" w:eastAsia="Times New Roman" w:hAnsi="Times New Roman" w:cs="Times New Roman"/>
                <w:bCs/>
                <w:color w:val="000000" w:themeColor="text1"/>
                <w:sz w:val="24"/>
                <w:szCs w:val="20"/>
                <w:lang w:eastAsia="ru-RU"/>
              </w:rPr>
              <w:t xml:space="preserve"> </w:t>
            </w:r>
            <w:r w:rsidR="00F8245D">
              <w:rPr>
                <w:rFonts w:ascii="Times New Roman" w:eastAsia="Times New Roman" w:hAnsi="Times New Roman" w:cs="Times New Roman"/>
                <w:bCs/>
                <w:iCs/>
                <w:sz w:val="24"/>
                <w:szCs w:val="24"/>
                <w:lang w:eastAsia="ru-RU"/>
              </w:rPr>
              <w:t>к</w:t>
            </w:r>
            <w:r w:rsidR="00F8245D" w:rsidRPr="00096DEA">
              <w:rPr>
                <w:rFonts w:ascii="Times New Roman" w:eastAsia="Times New Roman" w:hAnsi="Times New Roman" w:cs="Times New Roman"/>
                <w:bCs/>
                <w:iCs/>
                <w:sz w:val="24"/>
                <w:szCs w:val="24"/>
                <w:lang w:eastAsia="ru-RU"/>
              </w:rPr>
              <w:t>рупа кукурудзяна</w:t>
            </w:r>
            <w:r w:rsidR="00F8245D">
              <w:rPr>
                <w:rFonts w:ascii="Times New Roman" w:eastAsia="Times New Roman" w:hAnsi="Times New Roman" w:cs="Times New Roman"/>
                <w:bCs/>
                <w:color w:val="000000" w:themeColor="text1"/>
                <w:sz w:val="24"/>
                <w:szCs w:val="20"/>
                <w:lang w:eastAsia="ru-RU"/>
              </w:rPr>
              <w:t xml:space="preserve"> </w:t>
            </w:r>
            <w:r w:rsidR="00167BFF">
              <w:rPr>
                <w:rFonts w:ascii="Times New Roman" w:eastAsia="Times New Roman" w:hAnsi="Times New Roman" w:cs="Times New Roman"/>
                <w:bCs/>
                <w:color w:val="000000" w:themeColor="text1"/>
                <w:sz w:val="24"/>
                <w:szCs w:val="20"/>
                <w:lang w:eastAsia="ru-RU"/>
              </w:rPr>
              <w:t>–</w:t>
            </w:r>
            <w:r w:rsidR="00975EAE">
              <w:rPr>
                <w:rFonts w:ascii="Times New Roman" w:eastAsia="Times New Roman" w:hAnsi="Times New Roman" w:cs="Times New Roman"/>
                <w:bCs/>
                <w:color w:val="000000" w:themeColor="text1"/>
                <w:sz w:val="24"/>
                <w:szCs w:val="20"/>
                <w:lang w:eastAsia="ru-RU"/>
              </w:rPr>
              <w:t xml:space="preserve"> </w:t>
            </w:r>
            <w:r w:rsidR="00F8245D">
              <w:rPr>
                <w:rFonts w:ascii="Times New Roman" w:eastAsia="Times New Roman" w:hAnsi="Times New Roman" w:cs="Times New Roman"/>
                <w:bCs/>
                <w:color w:val="000000" w:themeColor="text1"/>
                <w:sz w:val="24"/>
                <w:szCs w:val="20"/>
                <w:lang w:eastAsia="ru-RU"/>
              </w:rPr>
              <w:t>750</w:t>
            </w:r>
            <w:r w:rsidR="00167BFF">
              <w:rPr>
                <w:rFonts w:ascii="Times New Roman" w:eastAsia="Times New Roman" w:hAnsi="Times New Roman" w:cs="Times New Roman"/>
                <w:bCs/>
                <w:color w:val="000000" w:themeColor="text1"/>
                <w:sz w:val="24"/>
                <w:szCs w:val="20"/>
                <w:lang w:eastAsia="ru-RU"/>
              </w:rPr>
              <w:t xml:space="preserve"> </w:t>
            </w:r>
            <w:r w:rsidR="00975EAE" w:rsidRPr="00975EAE">
              <w:rPr>
                <w:rFonts w:ascii="Times New Roman" w:eastAsia="Times New Roman" w:hAnsi="Times New Roman" w:cs="Times New Roman"/>
                <w:bCs/>
                <w:color w:val="000000" w:themeColor="text1"/>
                <w:sz w:val="24"/>
                <w:szCs w:val="20"/>
                <w:lang w:eastAsia="ru-RU"/>
              </w:rPr>
              <w:t>кг</w:t>
            </w:r>
            <w:r w:rsidR="00BD0E88">
              <w:rPr>
                <w:rFonts w:ascii="Times New Roman" w:eastAsia="Times New Roman" w:hAnsi="Times New Roman" w:cs="Times New Roman"/>
                <w:bCs/>
                <w:color w:val="000000" w:themeColor="text1"/>
                <w:sz w:val="24"/>
                <w:szCs w:val="20"/>
                <w:lang w:eastAsia="ru-RU"/>
              </w:rPr>
              <w:t>;</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sidR="00F8245D">
              <w:rPr>
                <w:rFonts w:ascii="Times New Roman" w:eastAsia="Times New Roman" w:hAnsi="Times New Roman" w:cs="Times New Roman"/>
                <w:bCs/>
                <w:iCs/>
                <w:color w:val="000000"/>
                <w:sz w:val="24"/>
                <w:szCs w:val="24"/>
                <w:lang w:eastAsia="ru-RU"/>
              </w:rPr>
              <w:t xml:space="preserve"> </w:t>
            </w:r>
            <w:r w:rsidR="00F8245D" w:rsidRPr="00096DEA">
              <w:rPr>
                <w:rFonts w:ascii="Times New Roman" w:eastAsia="Times New Roman" w:hAnsi="Times New Roman" w:cs="Times New Roman"/>
                <w:bCs/>
                <w:iCs/>
                <w:sz w:val="24"/>
                <w:szCs w:val="24"/>
                <w:lang w:eastAsia="ru-RU"/>
              </w:rPr>
              <w:t>крупа булгур</w:t>
            </w:r>
            <w:r w:rsidR="00F8245D">
              <w:rPr>
                <w:rFonts w:ascii="Times New Roman" w:eastAsia="Times New Roman" w:hAnsi="Times New Roman" w:cs="Times New Roman"/>
                <w:bCs/>
                <w:iCs/>
                <w:color w:val="000000" w:themeColor="text1"/>
                <w:sz w:val="24"/>
                <w:szCs w:val="20"/>
                <w:lang w:eastAsia="ru-RU"/>
              </w:rPr>
              <w:t xml:space="preserve"> – 1500</w:t>
            </w:r>
            <w:r>
              <w:rPr>
                <w:rFonts w:ascii="Times New Roman" w:eastAsia="Times New Roman" w:hAnsi="Times New Roman" w:cs="Times New Roman"/>
                <w:bCs/>
                <w:iCs/>
                <w:color w:val="000000" w:themeColor="text1"/>
                <w:sz w:val="24"/>
                <w:szCs w:val="20"/>
                <w:lang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themeColor="text1"/>
                <w:sz w:val="24"/>
                <w:szCs w:val="20"/>
                <w:lang w:val="ru-RU" w:eastAsia="ru-RU"/>
              </w:rPr>
              <w:t xml:space="preserve"> </w:t>
            </w:r>
            <w:r w:rsidR="00F8245D" w:rsidRPr="00096DEA">
              <w:rPr>
                <w:rFonts w:ascii="Times New Roman" w:eastAsia="Times New Roman" w:hAnsi="Times New Roman" w:cs="Times New Roman"/>
                <w:bCs/>
                <w:iCs/>
                <w:sz w:val="24"/>
                <w:szCs w:val="24"/>
                <w:lang w:eastAsia="ru-RU"/>
              </w:rPr>
              <w:t>крупа перлова</w:t>
            </w:r>
            <w:r w:rsidR="00F8245D">
              <w:rPr>
                <w:rFonts w:ascii="Times New Roman" w:eastAsia="Times New Roman" w:hAnsi="Times New Roman" w:cs="Times New Roman"/>
                <w:bCs/>
                <w:iCs/>
                <w:color w:val="000000" w:themeColor="text1"/>
                <w:sz w:val="24"/>
                <w:szCs w:val="20"/>
                <w:lang w:val="ru-RU" w:eastAsia="ru-RU"/>
              </w:rPr>
              <w:t xml:space="preserve"> – 600</w:t>
            </w:r>
            <w:r>
              <w:rPr>
                <w:rFonts w:ascii="Times New Roman" w:eastAsia="Times New Roman" w:hAnsi="Times New Roman" w:cs="Times New Roman"/>
                <w:bCs/>
                <w:iCs/>
                <w:color w:val="000000" w:themeColor="text1"/>
                <w:sz w:val="24"/>
                <w:szCs w:val="20"/>
                <w:lang w:val="ru-RU"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themeColor="text1"/>
                <w:sz w:val="24"/>
                <w:szCs w:val="20"/>
                <w:lang w:eastAsia="ru-RU"/>
              </w:rPr>
              <w:t xml:space="preserve"> </w:t>
            </w:r>
            <w:r w:rsidR="00F8245D" w:rsidRPr="00096DEA">
              <w:rPr>
                <w:rFonts w:ascii="Times New Roman" w:eastAsia="Times New Roman" w:hAnsi="Times New Roman" w:cs="Times New Roman"/>
                <w:bCs/>
                <w:iCs/>
                <w:sz w:val="24"/>
                <w:szCs w:val="24"/>
                <w:lang w:eastAsia="ru-RU"/>
              </w:rPr>
              <w:t>крупа гречана</w:t>
            </w:r>
            <w:r w:rsidR="00F8245D">
              <w:rPr>
                <w:rFonts w:ascii="Times New Roman" w:eastAsia="Times New Roman" w:hAnsi="Times New Roman" w:cs="Times New Roman"/>
                <w:bCs/>
                <w:iCs/>
                <w:color w:val="000000" w:themeColor="text1"/>
                <w:sz w:val="24"/>
                <w:szCs w:val="20"/>
                <w:lang w:eastAsia="ru-RU"/>
              </w:rPr>
              <w:t xml:space="preserve"> – 2000</w:t>
            </w:r>
            <w:r>
              <w:rPr>
                <w:rFonts w:ascii="Times New Roman" w:eastAsia="Times New Roman" w:hAnsi="Times New Roman" w:cs="Times New Roman"/>
                <w:bCs/>
                <w:iCs/>
                <w:color w:val="000000" w:themeColor="text1"/>
                <w:sz w:val="24"/>
                <w:szCs w:val="20"/>
                <w:lang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themeColor="text1"/>
                <w:sz w:val="24"/>
                <w:szCs w:val="20"/>
                <w:lang w:val="ru-RU" w:eastAsia="ru-RU"/>
              </w:rPr>
              <w:t xml:space="preserve"> </w:t>
            </w:r>
            <w:r w:rsidR="00F8245D" w:rsidRPr="00096DEA">
              <w:rPr>
                <w:rFonts w:ascii="Times New Roman" w:eastAsia="Times New Roman" w:hAnsi="Times New Roman" w:cs="Times New Roman"/>
                <w:bCs/>
                <w:iCs/>
                <w:sz w:val="24"/>
                <w:szCs w:val="24"/>
                <w:lang w:eastAsia="ru-RU"/>
              </w:rPr>
              <w:t>крупа ячна</w:t>
            </w:r>
            <w:r w:rsidR="00F8245D">
              <w:rPr>
                <w:rFonts w:ascii="Times New Roman" w:eastAsia="Times New Roman" w:hAnsi="Times New Roman" w:cs="Times New Roman"/>
                <w:bCs/>
                <w:iCs/>
                <w:color w:val="000000" w:themeColor="text1"/>
                <w:sz w:val="24"/>
                <w:szCs w:val="20"/>
                <w:lang w:val="ru-RU" w:eastAsia="ru-RU"/>
              </w:rPr>
              <w:t xml:space="preserve"> - 1100</w:t>
            </w:r>
            <w:r>
              <w:rPr>
                <w:rFonts w:ascii="Times New Roman" w:eastAsia="Times New Roman" w:hAnsi="Times New Roman" w:cs="Times New Roman"/>
                <w:bCs/>
                <w:iCs/>
                <w:color w:val="000000" w:themeColor="text1"/>
                <w:sz w:val="24"/>
                <w:szCs w:val="20"/>
                <w:lang w:val="ru-RU"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sidR="0050020D">
              <w:rPr>
                <w:rFonts w:ascii="Times New Roman" w:eastAsia="Times New Roman" w:hAnsi="Times New Roman" w:cs="Times New Roman"/>
                <w:bCs/>
                <w:iCs/>
                <w:color w:val="000000"/>
                <w:sz w:val="24"/>
                <w:szCs w:val="24"/>
                <w:lang w:eastAsia="ru-RU"/>
              </w:rPr>
              <w:t xml:space="preserve"> </w:t>
            </w:r>
            <w:r w:rsidR="00F8245D" w:rsidRPr="00096DEA">
              <w:rPr>
                <w:rFonts w:ascii="Times New Roman" w:eastAsia="Times New Roman" w:hAnsi="Times New Roman" w:cs="Times New Roman"/>
                <w:bCs/>
                <w:iCs/>
                <w:sz w:val="24"/>
                <w:szCs w:val="24"/>
                <w:lang w:eastAsia="ru-RU"/>
              </w:rPr>
              <w:t>крупа пшоняна</w:t>
            </w:r>
            <w:r w:rsidR="00F8245D">
              <w:rPr>
                <w:rFonts w:ascii="Times New Roman" w:eastAsia="Times New Roman" w:hAnsi="Times New Roman" w:cs="Times New Roman"/>
                <w:bCs/>
                <w:iCs/>
                <w:color w:val="000000" w:themeColor="text1"/>
                <w:sz w:val="24"/>
                <w:szCs w:val="20"/>
                <w:lang w:val="ru-RU" w:eastAsia="ru-RU"/>
              </w:rPr>
              <w:t xml:space="preserve"> – 1300</w:t>
            </w:r>
            <w:r>
              <w:rPr>
                <w:rFonts w:ascii="Times New Roman" w:eastAsia="Times New Roman" w:hAnsi="Times New Roman" w:cs="Times New Roman"/>
                <w:bCs/>
                <w:iCs/>
                <w:color w:val="000000" w:themeColor="text1"/>
                <w:sz w:val="24"/>
                <w:szCs w:val="20"/>
                <w:lang w:val="ru-RU"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themeColor="text1"/>
                <w:sz w:val="24"/>
                <w:szCs w:val="20"/>
                <w:lang w:val="ru-RU" w:eastAsia="ru-RU"/>
              </w:rPr>
              <w:t xml:space="preserve"> </w:t>
            </w:r>
            <w:r w:rsidR="00F8245D" w:rsidRPr="00096DEA">
              <w:rPr>
                <w:rFonts w:ascii="Times New Roman" w:eastAsia="Times New Roman" w:hAnsi="Times New Roman" w:cs="Times New Roman"/>
                <w:bCs/>
                <w:iCs/>
                <w:sz w:val="24"/>
                <w:szCs w:val="24"/>
                <w:lang w:eastAsia="ru-RU"/>
              </w:rPr>
              <w:t>крупа рисова</w:t>
            </w:r>
            <w:r w:rsidR="00F8245D">
              <w:rPr>
                <w:rFonts w:ascii="Times New Roman" w:eastAsia="Times New Roman" w:hAnsi="Times New Roman" w:cs="Times New Roman"/>
                <w:bCs/>
                <w:iCs/>
                <w:color w:val="000000" w:themeColor="text1"/>
                <w:sz w:val="24"/>
                <w:szCs w:val="20"/>
                <w:lang w:val="ru-RU" w:eastAsia="ru-RU"/>
              </w:rPr>
              <w:t xml:space="preserve"> – 2000</w:t>
            </w:r>
            <w:r>
              <w:rPr>
                <w:rFonts w:ascii="Times New Roman" w:eastAsia="Times New Roman" w:hAnsi="Times New Roman" w:cs="Times New Roman"/>
                <w:bCs/>
                <w:iCs/>
                <w:color w:val="000000" w:themeColor="text1"/>
                <w:sz w:val="24"/>
                <w:szCs w:val="20"/>
                <w:lang w:val="ru-RU"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 xml:space="preserve">- </w:t>
            </w:r>
            <w:r w:rsidR="0050020D">
              <w:rPr>
                <w:rFonts w:ascii="Times New Roman" w:eastAsia="Times New Roman" w:hAnsi="Times New Roman" w:cs="Times New Roman"/>
                <w:bCs/>
                <w:iCs/>
                <w:color w:val="000000" w:themeColor="text1"/>
                <w:sz w:val="24"/>
                <w:szCs w:val="20"/>
                <w:lang w:val="ru-RU" w:eastAsia="ru-RU"/>
              </w:rPr>
              <w:t xml:space="preserve"> </w:t>
            </w:r>
            <w:r w:rsidR="00F8245D" w:rsidRPr="00096DEA">
              <w:rPr>
                <w:rFonts w:ascii="Times New Roman" w:eastAsia="Times New Roman" w:hAnsi="Times New Roman" w:cs="Times New Roman"/>
                <w:bCs/>
                <w:iCs/>
                <w:sz w:val="24"/>
                <w:szCs w:val="24"/>
                <w:lang w:eastAsia="ru-RU"/>
              </w:rPr>
              <w:t>крупа вівсяна</w:t>
            </w:r>
            <w:r>
              <w:rPr>
                <w:rFonts w:ascii="Times New Roman" w:eastAsia="Times New Roman" w:hAnsi="Times New Roman" w:cs="Times New Roman"/>
                <w:bCs/>
                <w:iCs/>
                <w:color w:val="000000" w:themeColor="text1"/>
                <w:sz w:val="24"/>
                <w:szCs w:val="20"/>
                <w:lang w:eastAsia="ru-RU"/>
              </w:rPr>
              <w:t xml:space="preserve"> –</w:t>
            </w:r>
            <w:r w:rsidR="00F8245D">
              <w:rPr>
                <w:rFonts w:ascii="Times New Roman" w:eastAsia="Times New Roman" w:hAnsi="Times New Roman" w:cs="Times New Roman"/>
                <w:bCs/>
                <w:iCs/>
                <w:color w:val="000000" w:themeColor="text1"/>
                <w:sz w:val="24"/>
                <w:szCs w:val="20"/>
                <w:lang w:eastAsia="ru-RU"/>
              </w:rPr>
              <w:t xml:space="preserve"> 750</w:t>
            </w:r>
            <w:r>
              <w:rPr>
                <w:rFonts w:ascii="Times New Roman" w:eastAsia="Times New Roman" w:hAnsi="Times New Roman" w:cs="Times New Roman"/>
                <w:bCs/>
                <w:iCs/>
                <w:color w:val="000000" w:themeColor="text1"/>
                <w:sz w:val="24"/>
                <w:szCs w:val="20"/>
                <w:lang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themeColor="text1"/>
                <w:sz w:val="24"/>
                <w:szCs w:val="20"/>
                <w:lang w:val="ru-RU" w:eastAsia="ru-RU"/>
              </w:rPr>
              <w:t xml:space="preserve"> </w:t>
            </w:r>
            <w:r w:rsidR="00F8245D" w:rsidRPr="00096DEA">
              <w:rPr>
                <w:rFonts w:ascii="Times New Roman" w:eastAsia="Times New Roman" w:hAnsi="Times New Roman" w:cs="Times New Roman"/>
                <w:bCs/>
                <w:iCs/>
                <w:sz w:val="24"/>
                <w:szCs w:val="24"/>
                <w:lang w:eastAsia="ru-RU"/>
              </w:rPr>
              <w:t>крупа пшенична</w:t>
            </w:r>
            <w:r w:rsidR="00F8245D">
              <w:rPr>
                <w:rFonts w:ascii="Times New Roman" w:eastAsia="Times New Roman" w:hAnsi="Times New Roman" w:cs="Times New Roman"/>
                <w:bCs/>
                <w:iCs/>
                <w:color w:val="000000" w:themeColor="text1"/>
                <w:sz w:val="24"/>
                <w:szCs w:val="20"/>
                <w:lang w:val="ru-RU" w:eastAsia="ru-RU"/>
              </w:rPr>
              <w:t xml:space="preserve"> – 1200</w:t>
            </w:r>
            <w:r>
              <w:rPr>
                <w:rFonts w:ascii="Times New Roman" w:eastAsia="Times New Roman" w:hAnsi="Times New Roman" w:cs="Times New Roman"/>
                <w:bCs/>
                <w:iCs/>
                <w:color w:val="000000" w:themeColor="text1"/>
                <w:sz w:val="24"/>
                <w:szCs w:val="20"/>
                <w:lang w:val="ru-RU" w:eastAsia="ru-RU"/>
              </w:rPr>
              <w:t xml:space="preserve">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val="ru-RU" w:eastAsia="ru-RU"/>
              </w:rPr>
              <w:t xml:space="preserve"> </w:t>
            </w:r>
            <w:r w:rsidR="00F8245D" w:rsidRPr="00096DEA">
              <w:rPr>
                <w:rFonts w:ascii="Times New Roman" w:eastAsia="Times New Roman" w:hAnsi="Times New Roman" w:cs="Times New Roman"/>
                <w:bCs/>
                <w:iCs/>
                <w:sz w:val="24"/>
                <w:szCs w:val="24"/>
                <w:lang w:eastAsia="ru-RU"/>
              </w:rPr>
              <w:t>крупа кус-кус</w:t>
            </w:r>
            <w:r w:rsidR="00F8245D">
              <w:rPr>
                <w:rFonts w:ascii="Times New Roman" w:eastAsia="Times New Roman" w:hAnsi="Times New Roman" w:cs="Times New Roman"/>
                <w:bCs/>
                <w:iCs/>
                <w:color w:val="000000" w:themeColor="text1"/>
                <w:sz w:val="24"/>
                <w:szCs w:val="20"/>
                <w:lang w:val="ru-RU" w:eastAsia="ru-RU"/>
              </w:rPr>
              <w:t xml:space="preserve"> – 500</w:t>
            </w:r>
            <w:r>
              <w:rPr>
                <w:rFonts w:ascii="Times New Roman" w:eastAsia="Times New Roman" w:hAnsi="Times New Roman" w:cs="Times New Roman"/>
                <w:bCs/>
                <w:iCs/>
                <w:color w:val="000000" w:themeColor="text1"/>
                <w:sz w:val="24"/>
                <w:szCs w:val="20"/>
                <w:lang w:val="ru-RU" w:eastAsia="ru-RU"/>
              </w:rPr>
              <w:t xml:space="preserve"> кг;</w:t>
            </w:r>
          </w:p>
          <w:p w:rsidR="00BD0E88" w:rsidRPr="00975EAE" w:rsidRDefault="00F8245D"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 xml:space="preserve">- </w:t>
            </w:r>
            <w:r w:rsidRPr="00096DEA">
              <w:rPr>
                <w:rFonts w:ascii="Times New Roman" w:eastAsia="Times New Roman" w:hAnsi="Times New Roman" w:cs="Times New Roman"/>
                <w:bCs/>
                <w:iCs/>
                <w:sz w:val="24"/>
                <w:szCs w:val="24"/>
                <w:lang w:eastAsia="ru-RU"/>
              </w:rPr>
              <w:t>борошо пшеничне вищого сорту</w:t>
            </w:r>
            <w:r>
              <w:rPr>
                <w:rFonts w:ascii="Times New Roman" w:eastAsia="Times New Roman" w:hAnsi="Times New Roman" w:cs="Times New Roman"/>
                <w:bCs/>
                <w:iCs/>
                <w:color w:val="000000" w:themeColor="text1"/>
                <w:sz w:val="24"/>
                <w:szCs w:val="20"/>
                <w:lang w:val="ru-RU" w:eastAsia="ru-RU"/>
              </w:rPr>
              <w:t xml:space="preserve"> – 3000</w:t>
            </w:r>
            <w:r w:rsidR="00BD0E88">
              <w:rPr>
                <w:rFonts w:ascii="Times New Roman" w:eastAsia="Times New Roman" w:hAnsi="Times New Roman" w:cs="Times New Roman"/>
                <w:bCs/>
                <w:iCs/>
                <w:color w:val="000000" w:themeColor="text1"/>
                <w:sz w:val="24"/>
                <w:szCs w:val="20"/>
                <w:lang w:val="ru-RU" w:eastAsia="ru-RU"/>
              </w:rPr>
              <w:t xml:space="preserve"> кг.</w:t>
            </w:r>
          </w:p>
          <w:p w:rsidR="00325012" w:rsidRPr="001D01C7" w:rsidRDefault="00325012" w:rsidP="00C7016D">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 xml:space="preserve">статті </w:t>
            </w:r>
            <w:r w:rsidRPr="003F241B">
              <w:rPr>
                <w:rFonts w:ascii="Times New Roman" w:eastAsia="Times New Roman" w:hAnsi="Times New Roman" w:cs="Times New Roman"/>
                <w:b/>
                <w:color w:val="000000"/>
                <w:sz w:val="24"/>
                <w:szCs w:val="24"/>
                <w:u w:val="single"/>
                <w:lang w:eastAsia="ru-RU"/>
              </w:rPr>
              <w:lastRenderedPageBreak/>
              <w:t>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Додатком 2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інформацію про необхідні технічні, якісні та кількісні характеристики предмета закупівлі відповідно до вимог 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w:t>
            </w:r>
            <w:r w:rsidRPr="003F241B">
              <w:rPr>
                <w:rFonts w:ascii="Times New Roman" w:eastAsia="Times New Roman" w:hAnsi="Times New Roman" w:cs="Times New Roman"/>
                <w:color w:val="000000"/>
                <w:sz w:val="24"/>
                <w:szCs w:val="24"/>
                <w:lang w:val="ru-RU" w:eastAsia="ru-RU"/>
              </w:rPr>
              <w:lastRenderedPageBreak/>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w:t>
            </w:r>
            <w:r w:rsidR="009F1A3D" w:rsidRPr="009F1A3D">
              <w:rPr>
                <w:rFonts w:ascii="Times New Roman" w:eastAsia="Times New Roman" w:hAnsi="Times New Roman" w:cs="Times New Roman"/>
                <w:color w:val="000000"/>
                <w:sz w:val="24"/>
                <w:szCs w:val="24"/>
                <w:lang w:val="ru-RU" w:eastAsia="ru-RU"/>
              </w:rPr>
              <w:lastRenderedPageBreak/>
              <w:t xml:space="preserve">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підписом  учасника</w:t>
            </w:r>
            <w:proofErr w:type="gramEnd"/>
            <w:r w:rsidR="009F1A3D" w:rsidRPr="009F1A3D">
              <w:rPr>
                <w:rFonts w:ascii="Times New Roman" w:eastAsia="Times New Roman" w:hAnsi="Times New Roman" w:cs="Times New Roman"/>
                <w:color w:val="000000"/>
                <w:sz w:val="24"/>
                <w:szCs w:val="24"/>
                <w:lang w:val="ru-RU" w:eastAsia="ru-RU"/>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F1A3D" w:rsidRPr="003F241B"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w:t>
            </w:r>
            <w:r w:rsidRPr="003F241B">
              <w:rPr>
                <w:rFonts w:ascii="Times New Roman" w:eastAsia="Times New Roman" w:hAnsi="Times New Roman" w:cs="Times New Roman"/>
                <w:sz w:val="24"/>
                <w:szCs w:val="24"/>
                <w:lang w:eastAsia="ru-RU"/>
              </w:rPr>
              <w:lastRenderedPageBreak/>
              <w:t>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lastRenderedPageBreak/>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1C89">
              <w:rPr>
                <w:rFonts w:ascii="Times New Roman" w:eastAsia="Times New Roman" w:hAnsi="Times New Roman" w:cs="Times New Roman"/>
                <w:sz w:val="24"/>
                <w:szCs w:val="24"/>
              </w:rPr>
              <w:t>Замовник в</w:t>
            </w:r>
            <w:r w:rsidR="006E78CD">
              <w:rPr>
                <w:rFonts w:ascii="Times New Roman" w:eastAsia="Times New Roman" w:hAnsi="Times New Roman" w:cs="Times New Roman"/>
                <w:sz w:val="24"/>
                <w:szCs w:val="24"/>
              </w:rPr>
              <w:t>становлює один або декілька кваліфікаційних критеріїв відповідно</w:t>
            </w:r>
            <w:r w:rsidR="00EC1154">
              <w:rPr>
                <w:rFonts w:ascii="Times New Roman" w:eastAsia="Times New Roman" w:hAnsi="Times New Roman" w:cs="Times New Roman"/>
                <w:sz w:val="24"/>
                <w:szCs w:val="24"/>
              </w:rPr>
              <w:t xml:space="preserve"> до статті 16 Закону. Визначені </w:t>
            </w:r>
            <w:r w:rsidR="006E78CD">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5273">
              <w:rPr>
                <w:rFonts w:ascii="Times New Roman" w:eastAsia="Times New Roman" w:hAnsi="Times New Roman" w:cs="Times New Roman"/>
                <w:sz w:val="24"/>
                <w:szCs w:val="24"/>
              </w:rPr>
              <w:t>Спосіб</w:t>
            </w:r>
            <w:bookmarkStart w:id="0" w:name="_GoBack"/>
            <w:bookmarkEnd w:id="0"/>
            <w:r w:rsidR="006E78CD">
              <w:rPr>
                <w:rFonts w:ascii="Times New Roman" w:eastAsia="Times New Roman" w:hAnsi="Times New Roman" w:cs="Times New Roman"/>
                <w:sz w:val="24"/>
                <w:szCs w:val="24"/>
              </w:rPr>
              <w:t xml:space="preserve">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0257B" w:rsidRPr="003F241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1C1009" w:rsidRPr="001E340C">
              <w:rPr>
                <w:rFonts w:ascii="Times New Roman" w:eastAsia="Tahoma" w:hAnsi="Times New Roman" w:cs="Times New Roman"/>
                <w:b/>
                <w:bCs/>
                <w:i/>
                <w:color w:val="000000" w:themeColor="text1"/>
                <w:sz w:val="24"/>
                <w:szCs w:val="24"/>
                <w:lang w:eastAsia="zh-CN"/>
              </w:rPr>
              <w:t>20</w:t>
            </w:r>
            <w:r w:rsidR="004D45CB" w:rsidRPr="001E340C">
              <w:rPr>
                <w:rFonts w:ascii="Times New Roman" w:eastAsia="Tahoma" w:hAnsi="Times New Roman" w:cs="Times New Roman"/>
                <w:b/>
                <w:bCs/>
                <w:i/>
                <w:color w:val="000000" w:themeColor="text1"/>
                <w:sz w:val="24"/>
                <w:szCs w:val="24"/>
                <w:lang w:eastAsia="zh-CN"/>
              </w:rPr>
              <w:t>.02</w:t>
            </w:r>
            <w:r w:rsidRPr="001E340C">
              <w:rPr>
                <w:rFonts w:ascii="Times New Roman" w:eastAsia="Tahoma" w:hAnsi="Times New Roman" w:cs="Times New Roman"/>
                <w:b/>
                <w:bCs/>
                <w:i/>
                <w:color w:val="000000" w:themeColor="text1"/>
                <w:sz w:val="24"/>
                <w:szCs w:val="24"/>
                <w:lang w:eastAsia="zh-CN"/>
              </w:rPr>
              <w:t>.2024р</w:t>
            </w:r>
            <w:r w:rsidRPr="001E340C">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3F241B">
              <w:rPr>
                <w:rFonts w:ascii="Times New Roman" w:eastAsia="Times New Roman" w:hAnsi="Times New Roman" w:cs="Times New Roman"/>
                <w:color w:val="000000"/>
                <w:sz w:val="24"/>
                <w:szCs w:val="24"/>
                <w:lang w:eastAsia="ru-RU"/>
              </w:rPr>
              <w:lastRenderedPageBreak/>
              <w:t>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3F241B">
              <w:rPr>
                <w:rFonts w:ascii="Times New Roman" w:eastAsia="Times New Roman" w:hAnsi="Times New Roman" w:cs="Times New Roman"/>
                <w:b/>
                <w:bCs/>
                <w:i/>
                <w:iCs/>
                <w:color w:val="000000"/>
                <w:sz w:val="24"/>
                <w:szCs w:val="24"/>
                <w:lang w:val="ru-RU" w:eastAsia="ru-RU"/>
              </w:rPr>
              <w:lastRenderedPageBreak/>
              <w:t>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До розрахунку </w:t>
            </w:r>
            <w:proofErr w:type="gramStart"/>
            <w:r w:rsidRPr="003F241B">
              <w:rPr>
                <w:rFonts w:ascii="Times New Roman" w:eastAsia="Times New Roman" w:hAnsi="Times New Roman" w:cs="Times New Roman"/>
                <w:color w:val="000000"/>
                <w:sz w:val="24"/>
                <w:szCs w:val="24"/>
                <w:lang w:val="ru-RU" w:eastAsia="ru-RU"/>
              </w:rPr>
              <w:t>ціни  пропозиції</w:t>
            </w:r>
            <w:proofErr w:type="gramEnd"/>
            <w:r w:rsidRPr="003F241B">
              <w:rPr>
                <w:rFonts w:ascii="Times New Roman" w:eastAsia="Times New Roman" w:hAnsi="Times New Roman" w:cs="Times New Roman"/>
                <w:color w:val="000000"/>
                <w:sz w:val="24"/>
                <w:szCs w:val="24"/>
                <w:lang w:val="ru-RU" w:eastAsia="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w:t>
            </w:r>
            <w:proofErr w:type="gramStart"/>
            <w:r w:rsidRPr="003F241B">
              <w:rPr>
                <w:rFonts w:ascii="Times New Roman" w:eastAsia="Times New Roman" w:hAnsi="Times New Roman" w:cs="Times New Roman"/>
                <w:color w:val="000000"/>
                <w:sz w:val="24"/>
                <w:szCs w:val="24"/>
                <w:lang w:val="ru-RU" w:eastAsia="ru-RU"/>
              </w:rPr>
              <w:t>подають  у</w:t>
            </w:r>
            <w:proofErr w:type="gramEnd"/>
            <w:r w:rsidRPr="003F241B">
              <w:rPr>
                <w:rFonts w:ascii="Times New Roman" w:eastAsia="Times New Roman" w:hAnsi="Times New Roman" w:cs="Times New Roman"/>
                <w:color w:val="000000"/>
                <w:sz w:val="24"/>
                <w:szCs w:val="24"/>
                <w:lang w:val="ru-RU" w:eastAsia="ru-RU"/>
              </w:rPr>
              <w:t xml:space="preserve"> складі своєї пропозиції, документи, передбачені законодавством країн,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підприємцем, </w:t>
            </w:r>
            <w:r w:rsidRPr="003F241B">
              <w:rPr>
                <w:rFonts w:ascii="Times New Roman" w:eastAsia="Times New Roman" w:hAnsi="Times New Roman" w:cs="Times New Roman"/>
                <w:color w:val="000000"/>
                <w:sz w:val="24"/>
                <w:szCs w:val="24"/>
                <w:lang w:val="ru-RU" w:eastAsia="ru-RU"/>
              </w:rPr>
              <w:lastRenderedPageBreak/>
              <w:t xml:space="preserve">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3F241B">
              <w:rPr>
                <w:rFonts w:ascii="Times New Roman" w:eastAsia="Times New Roman" w:hAnsi="Times New Roman" w:cs="Times New Roman"/>
                <w:color w:val="000000"/>
                <w:sz w:val="24"/>
                <w:szCs w:val="24"/>
                <w:lang w:val="ru-RU" w:eastAsia="ru-RU"/>
              </w:rPr>
              <w:t>до абзацу</w:t>
            </w:r>
            <w:proofErr w:type="gramEnd"/>
            <w:r w:rsidRPr="003F241B">
              <w:rPr>
                <w:rFonts w:ascii="Times New Roman" w:eastAsia="Times New Roman" w:hAnsi="Times New Roman" w:cs="Times New Roman"/>
                <w:color w:val="000000"/>
                <w:sz w:val="24"/>
                <w:szCs w:val="24"/>
                <w:lang w:val="ru-RU" w:eastAsia="ru-RU"/>
              </w:rPr>
              <w:t xml:space="preserve">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w:t>
            </w:r>
            <w:proofErr w:type="gramStart"/>
            <w:r w:rsidRPr="003F241B">
              <w:rPr>
                <w:rFonts w:ascii="Times New Roman" w:eastAsia="Times New Roman" w:hAnsi="Times New Roman" w:cs="Times New Roman"/>
                <w:color w:val="000000"/>
                <w:sz w:val="24"/>
                <w:szCs w:val="24"/>
                <w:lang w:val="ru-RU" w:eastAsia="ru-RU"/>
              </w:rPr>
              <w:t>документ  або</w:t>
            </w:r>
            <w:proofErr w:type="gramEnd"/>
            <w:r w:rsidRPr="003F241B">
              <w:rPr>
                <w:rFonts w:ascii="Times New Roman" w:eastAsia="Times New Roman" w:hAnsi="Times New Roman" w:cs="Times New Roman"/>
                <w:color w:val="000000"/>
                <w:sz w:val="24"/>
                <w:szCs w:val="24"/>
                <w:lang w:val="ru-RU" w:eastAsia="ru-RU"/>
              </w:rPr>
              <w:t xml:space="preserve">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підтверджує, що у попередніх відносинах </w:t>
            </w:r>
            <w:proofErr w:type="gramStart"/>
            <w:r w:rsidRPr="003F241B">
              <w:rPr>
                <w:rFonts w:ascii="Times New Roman" w:eastAsia="Times New Roman" w:hAnsi="Times New Roman" w:cs="Times New Roman"/>
                <w:color w:val="000000"/>
                <w:sz w:val="24"/>
                <w:szCs w:val="24"/>
                <w:lang w:val="ru-RU" w:eastAsia="ru-RU"/>
              </w:rPr>
              <w:t>між  учасником</w:t>
            </w:r>
            <w:proofErr w:type="gramEnd"/>
            <w:r w:rsidRPr="003F241B">
              <w:rPr>
                <w:rFonts w:ascii="Times New Roman" w:eastAsia="Times New Roman" w:hAnsi="Times New Roman" w:cs="Times New Roman"/>
                <w:color w:val="000000"/>
                <w:sz w:val="24"/>
                <w:szCs w:val="24"/>
                <w:lang w:val="ru-RU" w:eastAsia="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Закону України «Про забезпечення прав і свобод </w:t>
            </w:r>
            <w:r w:rsidRPr="003F241B">
              <w:rPr>
                <w:rFonts w:ascii="Times New Roman" w:eastAsia="Times New Roman" w:hAnsi="Times New Roman" w:cs="Times New Roman"/>
                <w:color w:val="000000"/>
                <w:sz w:val="24"/>
                <w:szCs w:val="24"/>
                <w:lang w:val="ru-RU" w:eastAsia="ru-RU"/>
              </w:rPr>
              <w:lastRenderedPageBreak/>
              <w:t>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F241B">
              <w:rPr>
                <w:rFonts w:ascii="Times New Roman" w:eastAsia="Times New Roman" w:hAnsi="Times New Roman" w:cs="Times New Roman"/>
                <w:sz w:val="24"/>
                <w:szCs w:val="24"/>
                <w:lang w:eastAsia="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3F241B">
              <w:rPr>
                <w:rFonts w:ascii="Times New Roman" w:eastAsia="Times New Roman" w:hAnsi="Times New Roman" w:cs="Times New Roman"/>
                <w:sz w:val="24"/>
                <w:szCs w:val="24"/>
                <w:lang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006E78CD" w:rsidRPr="003F241B">
              <w:rPr>
                <w:rFonts w:ascii="Times New Roman" w:eastAsia="Times New Roman" w:hAnsi="Times New Roman" w:cs="Times New Roman"/>
                <w:sz w:val="24"/>
                <w:szCs w:val="24"/>
                <w:lang w:eastAsia="ru-RU"/>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 xml:space="preserve">не пізніше ніж </w:t>
            </w:r>
            <w:r w:rsidRPr="003F241B">
              <w:rPr>
                <w:rFonts w:ascii="Times New Roman" w:eastAsia="Arial" w:hAnsi="Times New Roman" w:cs="Times New Roman"/>
                <w:b/>
                <w:bCs/>
                <w:color w:val="000000"/>
                <w:sz w:val="24"/>
                <w:szCs w:val="24"/>
                <w:u w:val="single"/>
                <w:lang w:eastAsia="ru-RU"/>
              </w:rPr>
              <w:lastRenderedPageBreak/>
              <w:t>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w:t>
            </w:r>
            <w:r w:rsidRPr="003F241B">
              <w:rPr>
                <w:rFonts w:ascii="Times New Roman" w:eastAsia="Times New Roman" w:hAnsi="Times New Roman" w:cs="Times New Roman"/>
                <w:sz w:val="24"/>
                <w:szCs w:val="24"/>
                <w:lang w:eastAsia="ru-RU"/>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D55273"/>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90922"/>
    <w:rsid w:val="00096DEA"/>
    <w:rsid w:val="000A6BD8"/>
    <w:rsid w:val="00167BFF"/>
    <w:rsid w:val="001855E8"/>
    <w:rsid w:val="001C1009"/>
    <w:rsid w:val="001C5D24"/>
    <w:rsid w:val="001D01C7"/>
    <w:rsid w:val="001E340C"/>
    <w:rsid w:val="00237CCC"/>
    <w:rsid w:val="00240033"/>
    <w:rsid w:val="00282B59"/>
    <w:rsid w:val="002B5AE4"/>
    <w:rsid w:val="002C444C"/>
    <w:rsid w:val="002D439D"/>
    <w:rsid w:val="00325012"/>
    <w:rsid w:val="00345EC5"/>
    <w:rsid w:val="0035433A"/>
    <w:rsid w:val="003B4460"/>
    <w:rsid w:val="003C4060"/>
    <w:rsid w:val="003F241B"/>
    <w:rsid w:val="003F626F"/>
    <w:rsid w:val="00411774"/>
    <w:rsid w:val="004400FB"/>
    <w:rsid w:val="00465742"/>
    <w:rsid w:val="0048309B"/>
    <w:rsid w:val="004C29CB"/>
    <w:rsid w:val="004D45CB"/>
    <w:rsid w:val="0050020D"/>
    <w:rsid w:val="00502EA9"/>
    <w:rsid w:val="00584054"/>
    <w:rsid w:val="00584E3A"/>
    <w:rsid w:val="005921FF"/>
    <w:rsid w:val="0059463B"/>
    <w:rsid w:val="006016C6"/>
    <w:rsid w:val="0061708F"/>
    <w:rsid w:val="006C773E"/>
    <w:rsid w:val="006E17E7"/>
    <w:rsid w:val="006E78CD"/>
    <w:rsid w:val="00712AA9"/>
    <w:rsid w:val="007211E2"/>
    <w:rsid w:val="00736EA5"/>
    <w:rsid w:val="00783C2E"/>
    <w:rsid w:val="007B5351"/>
    <w:rsid w:val="007D5D9B"/>
    <w:rsid w:val="008051F8"/>
    <w:rsid w:val="008133D6"/>
    <w:rsid w:val="008370EB"/>
    <w:rsid w:val="00837B9D"/>
    <w:rsid w:val="00844C85"/>
    <w:rsid w:val="00844F29"/>
    <w:rsid w:val="00856BD7"/>
    <w:rsid w:val="00884EFA"/>
    <w:rsid w:val="00887455"/>
    <w:rsid w:val="0090257B"/>
    <w:rsid w:val="00915D44"/>
    <w:rsid w:val="00974AA1"/>
    <w:rsid w:val="00975EAE"/>
    <w:rsid w:val="009764C3"/>
    <w:rsid w:val="00986102"/>
    <w:rsid w:val="00987D72"/>
    <w:rsid w:val="009C050E"/>
    <w:rsid w:val="009F035C"/>
    <w:rsid w:val="009F1A3D"/>
    <w:rsid w:val="00A40A71"/>
    <w:rsid w:val="00AA58B9"/>
    <w:rsid w:val="00AB55AD"/>
    <w:rsid w:val="00B033A7"/>
    <w:rsid w:val="00B43FAC"/>
    <w:rsid w:val="00B5695F"/>
    <w:rsid w:val="00BA5952"/>
    <w:rsid w:val="00BB54D0"/>
    <w:rsid w:val="00BD0E88"/>
    <w:rsid w:val="00BF374F"/>
    <w:rsid w:val="00C27F38"/>
    <w:rsid w:val="00C62DD8"/>
    <w:rsid w:val="00C7016D"/>
    <w:rsid w:val="00C80C53"/>
    <w:rsid w:val="00C82C4B"/>
    <w:rsid w:val="00D25AF2"/>
    <w:rsid w:val="00D55273"/>
    <w:rsid w:val="00D64C2C"/>
    <w:rsid w:val="00DA7CD1"/>
    <w:rsid w:val="00DE1757"/>
    <w:rsid w:val="00DF1BAD"/>
    <w:rsid w:val="00DF295E"/>
    <w:rsid w:val="00E02142"/>
    <w:rsid w:val="00E12F56"/>
    <w:rsid w:val="00E26B2E"/>
    <w:rsid w:val="00EC1154"/>
    <w:rsid w:val="00ED1E13"/>
    <w:rsid w:val="00EE7BB3"/>
    <w:rsid w:val="00F038C6"/>
    <w:rsid w:val="00F8245D"/>
    <w:rsid w:val="00F93150"/>
    <w:rsid w:val="00FB1C89"/>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CD31"/>
  <w15:docId w15:val="{55E89B39-AC23-4294-ADC8-D07A26F5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19</Pages>
  <Words>6639</Words>
  <Characters>37844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Пользователь Windows</cp:lastModifiedBy>
  <cp:revision>91</cp:revision>
  <dcterms:created xsi:type="dcterms:W3CDTF">2024-01-15T12:30:00Z</dcterms:created>
  <dcterms:modified xsi:type="dcterms:W3CDTF">2024-02-12T12:02:00Z</dcterms:modified>
</cp:coreProperties>
</file>