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1F" w:rsidRDefault="0063281F" w:rsidP="0063281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 2</w:t>
      </w:r>
    </w:p>
    <w:p w:rsidR="0063281F" w:rsidRPr="00180219" w:rsidRDefault="0063281F" w:rsidP="0063281F">
      <w:pPr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  <w:r w:rsidRPr="00180219">
        <w:rPr>
          <w:rFonts w:ascii="Times New Roman" w:hAnsi="Times New Roman" w:cs="Times New Roman"/>
          <w:bCs/>
          <w:i/>
          <w:szCs w:val="24"/>
        </w:rPr>
        <w:t xml:space="preserve">до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тендерної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документації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</w:t>
      </w:r>
    </w:p>
    <w:p w:rsidR="0063281F" w:rsidRPr="00180219" w:rsidRDefault="0063281F" w:rsidP="0063281F">
      <w:pPr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  <w:r w:rsidRPr="00180219">
        <w:rPr>
          <w:rFonts w:ascii="Times New Roman" w:hAnsi="Times New Roman" w:cs="Times New Roman"/>
          <w:bCs/>
          <w:i/>
          <w:szCs w:val="24"/>
        </w:rPr>
        <w:t xml:space="preserve">за предметом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закупівлі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Камертон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медичний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з частотою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коливань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128 Гц </w:t>
      </w:r>
    </w:p>
    <w:p w:rsidR="0063281F" w:rsidRPr="00180219" w:rsidRDefault="0063281F" w:rsidP="0063281F">
      <w:pPr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  <w:r w:rsidRPr="00180219">
        <w:rPr>
          <w:rFonts w:ascii="Times New Roman" w:hAnsi="Times New Roman" w:cs="Times New Roman"/>
          <w:bCs/>
          <w:i/>
          <w:szCs w:val="24"/>
        </w:rPr>
        <w:t xml:space="preserve">код ДК </w:t>
      </w:r>
      <w:proofErr w:type="gramStart"/>
      <w:r w:rsidRPr="00180219">
        <w:rPr>
          <w:rFonts w:ascii="Times New Roman" w:hAnsi="Times New Roman" w:cs="Times New Roman"/>
          <w:bCs/>
          <w:i/>
          <w:szCs w:val="24"/>
        </w:rPr>
        <w:t>021:2015  33120000</w:t>
      </w:r>
      <w:proofErr w:type="gramEnd"/>
      <w:r w:rsidRPr="00180219">
        <w:rPr>
          <w:rFonts w:ascii="Times New Roman" w:hAnsi="Times New Roman" w:cs="Times New Roman"/>
          <w:bCs/>
          <w:i/>
          <w:szCs w:val="24"/>
        </w:rPr>
        <w:t xml:space="preserve">-7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Системи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реєстрації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медичної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інформації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та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дослідне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180219">
        <w:rPr>
          <w:rFonts w:ascii="Times New Roman" w:hAnsi="Times New Roman" w:cs="Times New Roman"/>
          <w:bCs/>
          <w:i/>
          <w:szCs w:val="24"/>
        </w:rPr>
        <w:t>обладнання</w:t>
      </w:r>
      <w:proofErr w:type="spellEnd"/>
      <w:r w:rsidRPr="00180219">
        <w:rPr>
          <w:rFonts w:ascii="Times New Roman" w:hAnsi="Times New Roman" w:cs="Times New Roman"/>
          <w:bCs/>
          <w:i/>
          <w:szCs w:val="24"/>
        </w:rPr>
        <w:t>»</w:t>
      </w:r>
    </w:p>
    <w:p w:rsidR="0063281F" w:rsidRDefault="0063281F" w:rsidP="0063281F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81F" w:rsidRPr="0063281F" w:rsidRDefault="0063281F" w:rsidP="0063281F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</w:pPr>
      <w:r w:rsidRPr="006328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63281F" w:rsidRPr="0063281F" w:rsidRDefault="0063281F" w:rsidP="0063281F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lang w:val="uk-UA"/>
        </w:rPr>
      </w:pPr>
    </w:p>
    <w:p w:rsidR="0063281F" w:rsidRPr="0063281F" w:rsidRDefault="0063281F" w:rsidP="0063281F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632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І. </w:t>
      </w:r>
      <w:proofErr w:type="spellStart"/>
      <w:r w:rsidRPr="00632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Загальні</w:t>
      </w:r>
      <w:proofErr w:type="spellEnd"/>
      <w:r w:rsidRPr="00632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вимоги</w:t>
      </w:r>
      <w:proofErr w:type="spellEnd"/>
      <w:r w:rsidRPr="00632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63281F" w:rsidRPr="0063281F" w:rsidRDefault="0063281F" w:rsidP="0063281F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63281F" w:rsidRPr="0063281F" w:rsidRDefault="0063281F" w:rsidP="0063281F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Учасник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повинен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надати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як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частину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своєї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тендерної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пропозиції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документи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,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що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підтверджують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відповідність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Товару, а </w:t>
      </w:r>
      <w:proofErr w:type="spellStart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саме</w:t>
      </w:r>
      <w:proofErr w:type="spellEnd"/>
      <w:r w:rsidRPr="006328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:</w:t>
      </w:r>
    </w:p>
    <w:p w:rsidR="0063281F" w:rsidRPr="0063281F" w:rsidRDefault="0063281F" w:rsidP="0063281F">
      <w:pPr>
        <w:widowControl w:val="0"/>
        <w:tabs>
          <w:tab w:val="left" w:pos="274"/>
        </w:tabs>
        <w:suppressAutoHyphens/>
        <w:autoSpaceDE w:val="0"/>
        <w:spacing w:after="0" w:line="240" w:lineRule="auto"/>
        <w:ind w:right="-23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63281F" w:rsidRPr="0063281F" w:rsidRDefault="0063281F" w:rsidP="006328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Запропонований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товар повинен бути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зареєстрованим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дозволеним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встановленому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порядку. </w:t>
      </w:r>
      <w:proofErr w:type="spellStart"/>
      <w:r w:rsidRPr="0063281F">
        <w:rPr>
          <w:rFonts w:ascii="Times New Roman" w:eastAsia="Calibri" w:hAnsi="Times New Roman" w:cs="Times New Roman"/>
          <w:b/>
          <w:sz w:val="24"/>
          <w:szCs w:val="24"/>
        </w:rPr>
        <w:t>Учасник</w:t>
      </w:r>
      <w:proofErr w:type="spellEnd"/>
      <w:r w:rsidRPr="0063281F">
        <w:rPr>
          <w:rFonts w:ascii="Times New Roman" w:eastAsia="Calibri" w:hAnsi="Times New Roman" w:cs="Times New Roman"/>
          <w:b/>
          <w:sz w:val="24"/>
          <w:szCs w:val="24"/>
        </w:rPr>
        <w:t xml:space="preserve"> повинен </w:t>
      </w:r>
      <w:proofErr w:type="spellStart"/>
      <w:r w:rsidRPr="0063281F">
        <w:rPr>
          <w:rFonts w:ascii="Times New Roman" w:eastAsia="Calibri" w:hAnsi="Times New Roman" w:cs="Times New Roman"/>
          <w:b/>
          <w:sz w:val="24"/>
          <w:szCs w:val="24"/>
        </w:rPr>
        <w:t>надати</w:t>
      </w:r>
      <w:proofErr w:type="spellEnd"/>
      <w:r w:rsidRPr="0063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Сертифікати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) ДСТУ, ENISO 13485,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регламентує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розробку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виробництво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розповсюдження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63281F">
        <w:rPr>
          <w:rFonts w:ascii="Times New Roman" w:eastAsia="Calibri" w:hAnsi="Times New Roman" w:cs="Times New Roman"/>
          <w:sz w:val="24"/>
          <w:szCs w:val="24"/>
        </w:rPr>
        <w:t>обслуговування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медичних</w:t>
      </w:r>
      <w:proofErr w:type="spellEnd"/>
      <w:proofErr w:type="gram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виробів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81F" w:rsidRPr="0063281F" w:rsidRDefault="0063281F" w:rsidP="006328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Декларація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відповідність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вимогам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технічного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регламенту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щодо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медичних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виробів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на всю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продукцію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що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пропонується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закупівлі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281F" w:rsidRPr="0063281F" w:rsidRDefault="0063281F" w:rsidP="00FD690E">
      <w:pPr>
        <w:widowControl w:val="0"/>
        <w:numPr>
          <w:ilvl w:val="0"/>
          <w:numId w:val="1"/>
        </w:numPr>
        <w:tabs>
          <w:tab w:val="left" w:pos="426"/>
          <w:tab w:val="left" w:pos="1418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1F">
        <w:rPr>
          <w:rFonts w:ascii="Times New Roman" w:eastAsia="Calibri" w:hAnsi="Times New Roman" w:cs="Times New Roman"/>
          <w:sz w:val="24"/>
          <w:szCs w:val="24"/>
        </w:rPr>
        <w:t>Паспорта (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інструкції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експлуатації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) на всю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продукцію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пропонується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закуп</w:t>
      </w:r>
      <w:r w:rsidRPr="0063281F">
        <w:rPr>
          <w:rFonts w:ascii="Arial" w:eastAsia="Calibri" w:hAnsi="Arial" w:cs="Arial"/>
          <w:sz w:val="24"/>
          <w:szCs w:val="16"/>
        </w:rPr>
        <w:t>і</w:t>
      </w:r>
      <w:r w:rsidRPr="0063281F">
        <w:rPr>
          <w:rFonts w:ascii="Times New Roman" w:eastAsia="Calibri" w:hAnsi="Times New Roman" w:cs="Times New Roman"/>
          <w:sz w:val="24"/>
          <w:szCs w:val="24"/>
        </w:rPr>
        <w:t>влі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81F" w:rsidRPr="0063281F" w:rsidRDefault="0063281F" w:rsidP="006328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3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запобігання закупівлі фальсифікатів Учасник повинен надати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>сканкопію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оригіналу гарантійного листа від виробника (представництва, філії виробника – якщо їх відповідні повноваження поширюються на територію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представника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дилера,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дистриб’ютора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уповноваженого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виробником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підтверджується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можливість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поставки товару,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є предметом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цих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пропонується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строками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придатності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та в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терміни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визначені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тендерною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документацією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Гарантійний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лист повинен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включати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номер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відкритих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оприлюдненого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на веб-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порталі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Уповноваженого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органу 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назву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81F" w:rsidRPr="0063281F" w:rsidRDefault="0063281F" w:rsidP="006328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3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81F">
        <w:rPr>
          <w:rFonts w:ascii="Times New Roman" w:eastAsia="SimSun" w:hAnsi="Times New Roman" w:cs="Times New Roman"/>
          <w:sz w:val="24"/>
          <w:szCs w:val="24"/>
          <w:lang w:val="uk-UA" w:eastAsia="ru-RU"/>
        </w:rPr>
        <w:t>Усі документи, повинні бути складені українською мовою. У випадку, якщо до складу пропозиції учасника входитимуть документи, складені іноземною мовою, вони обов'язково мають суп</w:t>
      </w:r>
      <w:bookmarkStart w:id="0" w:name="_GoBack"/>
      <w:bookmarkEnd w:id="0"/>
      <w:r w:rsidRPr="0063281F">
        <w:rPr>
          <w:rFonts w:ascii="Times New Roman" w:eastAsia="SimSun" w:hAnsi="Times New Roman" w:cs="Times New Roman"/>
          <w:sz w:val="24"/>
          <w:szCs w:val="24"/>
          <w:lang w:val="uk-UA" w:eastAsia="ru-RU"/>
        </w:rPr>
        <w:t>роводжуватись автентичним перекладом на українську мову</w:t>
      </w:r>
      <w:r w:rsidRPr="0063281F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63281F" w:rsidRPr="0063281F" w:rsidRDefault="0063281F" w:rsidP="006328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3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Гарантійний термін обслуговування має бути не менше 12 місяців з дати введення в експлуатацію </w:t>
      </w:r>
      <w:r w:rsidRPr="006328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(надати гарантійний лист у довільній формі)</w:t>
      </w:r>
      <w:r w:rsidRPr="006328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3281F" w:rsidRPr="0063281F" w:rsidRDefault="0063281F" w:rsidP="006328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3" w:firstLine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Постачальник повинен здійснити за власний рахунок транспортування запропонованого товару за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замовника </w:t>
      </w:r>
      <w:r w:rsidRPr="006328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(надати гарантійний лист у довільній формі)</w:t>
      </w:r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3281F" w:rsidRPr="0063281F" w:rsidRDefault="0063281F" w:rsidP="0063281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</w:p>
    <w:p w:rsidR="0063281F" w:rsidRPr="0063281F" w:rsidRDefault="0063281F" w:rsidP="006328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ar-SA"/>
        </w:rPr>
      </w:pPr>
      <w:r w:rsidRPr="0063281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t>ІІ. Технічні вимоги до предмету закупівлі:</w:t>
      </w:r>
    </w:p>
    <w:p w:rsidR="0063281F" w:rsidRPr="0063281F" w:rsidRDefault="0063281F" w:rsidP="006328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ar-SA"/>
        </w:rPr>
      </w:pPr>
    </w:p>
    <w:p w:rsidR="0063281F" w:rsidRPr="0063281F" w:rsidRDefault="0063281F" w:rsidP="0063281F">
      <w:pPr>
        <w:ind w:left="437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63281F">
        <w:rPr>
          <w:rFonts w:ascii="Times New Roman" w:eastAsia="Calibri" w:hAnsi="Times New Roman" w:cs="Times New Roman"/>
          <w:b/>
          <w:lang w:val="uk-UA"/>
        </w:rPr>
        <w:t>МЕДИКО – ТЕХНІЧНІ ВИМОГИ</w:t>
      </w:r>
    </w:p>
    <w:p w:rsidR="0063281F" w:rsidRPr="0063281F" w:rsidRDefault="0063281F" w:rsidP="0063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Камертон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медичний</w:t>
      </w:r>
      <w:proofErr w:type="spellEnd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частотою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коливань</w:t>
      </w:r>
      <w:proofErr w:type="spellEnd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128</w:t>
      </w:r>
      <w:r w:rsidRPr="006328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Гц</w:t>
      </w:r>
      <w:proofErr w:type="spellEnd"/>
      <w:r w:rsidRPr="006328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кодом ДК 021:2015</w:t>
      </w:r>
    </w:p>
    <w:p w:rsidR="0063281F" w:rsidRPr="0063281F" w:rsidRDefault="0063281F" w:rsidP="0063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val="uk-UA"/>
        </w:rPr>
      </w:pPr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33120000-</w:t>
      </w:r>
      <w:proofErr w:type="gram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7:</w:t>
      </w:r>
      <w:r w:rsidRPr="006328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Системи</w:t>
      </w:r>
      <w:proofErr w:type="spellEnd"/>
      <w:proofErr w:type="gramEnd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реєстрації</w:t>
      </w:r>
      <w:proofErr w:type="spellEnd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медичної</w:t>
      </w:r>
      <w:proofErr w:type="spellEnd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інформації</w:t>
      </w:r>
      <w:proofErr w:type="spellEnd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дослідне</w:t>
      </w:r>
      <w:proofErr w:type="spellEnd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обладнання</w:t>
      </w:r>
      <w:proofErr w:type="spellEnd"/>
    </w:p>
    <w:p w:rsidR="0063281F" w:rsidRPr="0063281F" w:rsidRDefault="0063281F" w:rsidP="0063281F">
      <w:pPr>
        <w:jc w:val="center"/>
        <w:rPr>
          <w:rFonts w:ascii="Times New Roman" w:eastAsia="Calibri" w:hAnsi="Times New Roman" w:cs="Times New Roman"/>
          <w:b/>
          <w:i/>
          <w:iCs/>
          <w:lang w:val="uk-UA"/>
        </w:rPr>
      </w:pPr>
      <w:r w:rsidRPr="006328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Pr="0063281F">
        <w:rPr>
          <w:rFonts w:ascii="Times New Roman" w:eastAsia="Calibri" w:hAnsi="Times New Roman" w:cs="Times New Roman"/>
          <w:b/>
          <w:sz w:val="24"/>
          <w:szCs w:val="24"/>
        </w:rPr>
        <w:t xml:space="preserve">Код </w:t>
      </w:r>
      <w:proofErr w:type="spellStart"/>
      <w:r w:rsidRPr="0063281F">
        <w:rPr>
          <w:rFonts w:ascii="Times New Roman" w:eastAsia="Calibri" w:hAnsi="Times New Roman" w:cs="Times New Roman"/>
          <w:b/>
          <w:sz w:val="24"/>
          <w:szCs w:val="24"/>
        </w:rPr>
        <w:t>відповідно</w:t>
      </w:r>
      <w:proofErr w:type="spellEnd"/>
      <w:r w:rsidRPr="0063281F">
        <w:rPr>
          <w:rFonts w:ascii="Times New Roman" w:eastAsia="Calibri" w:hAnsi="Times New Roman" w:cs="Times New Roman"/>
          <w:b/>
          <w:sz w:val="24"/>
          <w:szCs w:val="24"/>
        </w:rPr>
        <w:t xml:space="preserve"> до НК 024:2023</w:t>
      </w:r>
      <w:r w:rsidRPr="0063281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- </w:t>
      </w:r>
      <w:r w:rsidRPr="0063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32526 Камертон</w:t>
      </w:r>
      <w:r w:rsidRPr="00632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63281F" w:rsidRPr="0063281F" w:rsidRDefault="0063281F" w:rsidP="0063281F">
      <w:pPr>
        <w:ind w:left="437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323"/>
        <w:gridCol w:w="4065"/>
        <w:gridCol w:w="2292"/>
      </w:tblGrid>
      <w:tr w:rsidR="0063281F" w:rsidRPr="0063281F" w:rsidTr="00AE23E5">
        <w:tc>
          <w:tcPr>
            <w:tcW w:w="567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41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Показники</w:t>
            </w:r>
          </w:p>
        </w:tc>
        <w:tc>
          <w:tcPr>
            <w:tcW w:w="438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Необхідні технічні та якісні умови</w:t>
            </w:r>
          </w:p>
        </w:tc>
        <w:tc>
          <w:tcPr>
            <w:tcW w:w="239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Відповідність</w:t>
            </w:r>
          </w:p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Так/ні</w:t>
            </w:r>
          </w:p>
        </w:tc>
      </w:tr>
      <w:tr w:rsidR="0063281F" w:rsidRPr="0063281F" w:rsidTr="00AE23E5">
        <w:tc>
          <w:tcPr>
            <w:tcW w:w="567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241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Призначення</w:t>
            </w:r>
          </w:p>
        </w:tc>
        <w:tc>
          <w:tcPr>
            <w:tcW w:w="4380" w:type="dxa"/>
          </w:tcPr>
          <w:p w:rsidR="0063281F" w:rsidRPr="0063281F" w:rsidRDefault="0063281F" w:rsidP="006328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pacing w:val="-7"/>
              </w:rPr>
            </w:pPr>
            <w:proofErr w:type="spellStart"/>
            <w:r w:rsidRPr="0063281F">
              <w:rPr>
                <w:rFonts w:ascii="Times New Roman" w:hAnsi="Times New Roman"/>
                <w:color w:val="000000"/>
              </w:rPr>
              <w:t>Застосування</w:t>
            </w:r>
            <w:proofErr w:type="spellEnd"/>
            <w:r w:rsidRPr="0063281F">
              <w:rPr>
                <w:rFonts w:ascii="Times New Roman" w:hAnsi="Times New Roman"/>
                <w:color w:val="000000"/>
              </w:rPr>
              <w:t xml:space="preserve"> камертону для </w:t>
            </w:r>
            <w:r w:rsidRPr="0063281F">
              <w:rPr>
                <w:rFonts w:ascii="Times New Roman" w:hAnsi="Times New Roman"/>
                <w:color w:val="000000"/>
                <w:lang w:val="uk-UA"/>
              </w:rPr>
              <w:t>генерації звукових хвиль для визначення повітряної і кісткової провідності</w:t>
            </w:r>
          </w:p>
        </w:tc>
        <w:tc>
          <w:tcPr>
            <w:tcW w:w="239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3281F" w:rsidRPr="0063281F" w:rsidTr="00AE23E5">
        <w:tc>
          <w:tcPr>
            <w:tcW w:w="567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41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Матеріал</w:t>
            </w:r>
          </w:p>
        </w:tc>
        <w:tc>
          <w:tcPr>
            <w:tcW w:w="438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Нержавіюча сталь</w:t>
            </w:r>
          </w:p>
        </w:tc>
        <w:tc>
          <w:tcPr>
            <w:tcW w:w="239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3281F" w:rsidRPr="0063281F" w:rsidTr="00AE23E5">
        <w:tc>
          <w:tcPr>
            <w:tcW w:w="567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41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Країна виробник</w:t>
            </w:r>
          </w:p>
        </w:tc>
        <w:tc>
          <w:tcPr>
            <w:tcW w:w="438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39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3281F" w:rsidRPr="0063281F" w:rsidTr="00AE23E5">
        <w:tc>
          <w:tcPr>
            <w:tcW w:w="567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41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Фірма виробник</w:t>
            </w:r>
          </w:p>
        </w:tc>
        <w:tc>
          <w:tcPr>
            <w:tcW w:w="438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39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3281F" w:rsidRPr="0063281F" w:rsidTr="00AE23E5">
        <w:tc>
          <w:tcPr>
            <w:tcW w:w="567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41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Модель</w:t>
            </w:r>
          </w:p>
        </w:tc>
        <w:tc>
          <w:tcPr>
            <w:tcW w:w="438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39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3281F" w:rsidRPr="0063281F" w:rsidTr="00AE23E5">
        <w:tc>
          <w:tcPr>
            <w:tcW w:w="567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41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Частота</w:t>
            </w:r>
          </w:p>
        </w:tc>
        <w:tc>
          <w:tcPr>
            <w:tcW w:w="438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 xml:space="preserve">128 </w:t>
            </w:r>
            <w:proofErr w:type="spellStart"/>
            <w:r w:rsidRPr="0063281F">
              <w:rPr>
                <w:rFonts w:ascii="Times New Roman" w:hAnsi="Times New Roman"/>
                <w:lang w:val="uk-UA"/>
              </w:rPr>
              <w:t>Гц</w:t>
            </w:r>
            <w:proofErr w:type="spellEnd"/>
          </w:p>
        </w:tc>
        <w:tc>
          <w:tcPr>
            <w:tcW w:w="239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3281F" w:rsidRPr="0063281F" w:rsidTr="00AE23E5">
        <w:tc>
          <w:tcPr>
            <w:tcW w:w="567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3281F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41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 xml:space="preserve">Гарантійне обслуговування </w:t>
            </w:r>
          </w:p>
        </w:tc>
        <w:tc>
          <w:tcPr>
            <w:tcW w:w="4380" w:type="dxa"/>
          </w:tcPr>
          <w:p w:rsidR="0063281F" w:rsidRPr="0063281F" w:rsidRDefault="0063281F" w:rsidP="0063281F">
            <w:pPr>
              <w:contextualSpacing/>
              <w:rPr>
                <w:rFonts w:ascii="Times New Roman" w:hAnsi="Times New Roman"/>
                <w:lang w:val="uk-UA"/>
              </w:rPr>
            </w:pPr>
            <w:r w:rsidRPr="0063281F">
              <w:rPr>
                <w:rFonts w:ascii="Times New Roman" w:hAnsi="Times New Roman"/>
                <w:lang w:val="uk-UA"/>
              </w:rPr>
              <w:t>Не менше 12 місяців</w:t>
            </w:r>
          </w:p>
        </w:tc>
        <w:tc>
          <w:tcPr>
            <w:tcW w:w="2390" w:type="dxa"/>
          </w:tcPr>
          <w:p w:rsidR="0063281F" w:rsidRPr="0063281F" w:rsidRDefault="0063281F" w:rsidP="0063281F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63281F" w:rsidRPr="0063281F" w:rsidRDefault="0063281F" w:rsidP="0063281F">
      <w:pPr>
        <w:spacing w:line="240" w:lineRule="auto"/>
        <w:ind w:right="-143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63281F" w:rsidRPr="0063281F" w:rsidRDefault="0063281F" w:rsidP="0063281F">
      <w:pPr>
        <w:spacing w:line="240" w:lineRule="auto"/>
        <w:ind w:left="-426" w:right="-1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  <w:proofErr w:type="spellStart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>уваги</w:t>
      </w:r>
      <w:proofErr w:type="spellEnd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>Учасників</w:t>
      </w:r>
      <w:proofErr w:type="spellEnd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:rsidR="0063281F" w:rsidRPr="0063281F" w:rsidRDefault="0063281F" w:rsidP="0063281F">
      <w:pPr>
        <w:widowControl w:val="0"/>
        <w:tabs>
          <w:tab w:val="left" w:pos="567"/>
        </w:tabs>
        <w:spacing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81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Ні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технічні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вимоги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ні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кількість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ні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одиниця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виміру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предмета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закупівлі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не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може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бути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змінено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Такі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показники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мають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бути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незмінними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під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час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подання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Учасниками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своїх</w:t>
      </w:r>
      <w:proofErr w:type="spellEnd"/>
      <w:r w:rsidRPr="00632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Cs/>
          <w:sz w:val="24"/>
          <w:szCs w:val="24"/>
        </w:rPr>
        <w:t>пропозицій</w:t>
      </w:r>
      <w:proofErr w:type="spellEnd"/>
      <w:r w:rsidRPr="006328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3281F" w:rsidRPr="0063281F" w:rsidRDefault="0063281F" w:rsidP="00632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місцях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де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технічна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специфікація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містить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посилання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стандартні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характеристики,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технічні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регламенти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умовні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позначення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термінологію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пов’язані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з товарами, роботами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послугами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закуповуються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існуючими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міжнародними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європейськими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стандартами,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спільними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технічними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європейськими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нормами,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технічними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еталонними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системами,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визнаними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європейськими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органами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стандартизації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національними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стандартами, нормами та правилами,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біля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кожного такого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посилання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вважати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вираз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еквівалент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». Таким чином,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вважається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до кожного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посилання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>додається</w:t>
      </w:r>
      <w:proofErr w:type="spellEnd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>вираз</w:t>
      </w:r>
      <w:proofErr w:type="spellEnd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>або</w:t>
      </w:r>
      <w:proofErr w:type="spellEnd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>еквівалент</w:t>
      </w:r>
      <w:proofErr w:type="spellEnd"/>
      <w:r w:rsidRPr="0063281F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63281F" w:rsidRPr="0063281F" w:rsidRDefault="0063281F" w:rsidP="00632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Посилання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тендерній </w:t>
      </w:r>
      <w:proofErr w:type="spellStart"/>
      <w:proofErr w:type="gramStart"/>
      <w:r w:rsidRPr="0063281F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конкретні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торгівельну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марку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фірму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патент,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конструкцію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тип предмета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джерело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походження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виробника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читати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як «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еквівалент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3281F" w:rsidRPr="0063281F" w:rsidRDefault="0063281F" w:rsidP="00632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пропонує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еквівалент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товару –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повинен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чином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засвідченні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копії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документів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еквівалентність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запропонованого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63281F">
        <w:rPr>
          <w:rFonts w:ascii="Times New Roman" w:eastAsia="Calibri" w:hAnsi="Times New Roman" w:cs="Times New Roman"/>
          <w:sz w:val="24"/>
          <w:szCs w:val="24"/>
        </w:rPr>
        <w:t>тендерних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proofErr w:type="gram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зазначеному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цій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>.</w:t>
      </w:r>
      <w:r w:rsidRPr="00632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Пропозиція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подана у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вигляді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еквіваленту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предмета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(на думку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технічних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до предмета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суттєво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відповідає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буде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відхилена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, як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така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відповідає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1F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6328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912" w:rsidRPr="00FD690E" w:rsidRDefault="00F42912" w:rsidP="00FD69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sectPr w:rsidR="00F42912" w:rsidRPr="00FD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87560"/>
    <w:multiLevelType w:val="hybridMultilevel"/>
    <w:tmpl w:val="9F2CDB26"/>
    <w:lvl w:ilvl="0" w:tplc="01903576">
      <w:start w:val="1"/>
      <w:numFmt w:val="decimal"/>
      <w:lvlText w:val="%1."/>
      <w:lvlJc w:val="left"/>
      <w:pPr>
        <w:ind w:left="4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C"/>
    <w:rsid w:val="0050381C"/>
    <w:rsid w:val="0063281F"/>
    <w:rsid w:val="00F42912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00FF-FFA7-419D-A443-C9E65131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2023-12-04T13:17:00Z</dcterms:created>
  <dcterms:modified xsi:type="dcterms:W3CDTF">2023-12-04T13:38:00Z</dcterms:modified>
</cp:coreProperties>
</file>