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75" w:rsidRPr="00474B9C" w:rsidRDefault="00F56175" w:rsidP="00F56175">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F56175" w:rsidRPr="00474B9C" w:rsidRDefault="00F56175" w:rsidP="00F56175">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F56175" w:rsidRPr="00474B9C" w:rsidRDefault="00F56175" w:rsidP="00F56175">
      <w:pPr>
        <w:widowControl w:val="0"/>
        <w:autoSpaceDE w:val="0"/>
        <w:autoSpaceDN w:val="0"/>
        <w:jc w:val="right"/>
        <w:rPr>
          <w:rFonts w:ascii="Times New Roman" w:eastAsia="Times New Roman" w:hAnsi="Times New Roman" w:cs="Times New Roman"/>
          <w:b/>
          <w:sz w:val="24"/>
          <w:szCs w:val="24"/>
          <w:lang w:val="ru-RU"/>
        </w:rPr>
      </w:pPr>
    </w:p>
    <w:p w:rsidR="00F56175" w:rsidRPr="006F6B19" w:rsidRDefault="00F56175" w:rsidP="00F56175">
      <w:pPr>
        <w:jc w:val="center"/>
        <w:rPr>
          <w:rFonts w:ascii="Times New Roman" w:hAnsi="Times New Roman" w:cs="Times New Roman"/>
          <w:b/>
          <w:sz w:val="24"/>
          <w:szCs w:val="24"/>
        </w:rPr>
      </w:pPr>
      <w:r w:rsidRPr="006F6B19">
        <w:rPr>
          <w:rFonts w:ascii="Times New Roman" w:hAnsi="Times New Roman" w:cs="Times New Roman"/>
          <w:b/>
          <w:sz w:val="24"/>
          <w:szCs w:val="24"/>
        </w:rPr>
        <w:t xml:space="preserve">ТЕХНІЧНІ ВИМОГИ </w:t>
      </w:r>
    </w:p>
    <w:p w:rsidR="00F56175" w:rsidRPr="00474B9C" w:rsidRDefault="00F56175" w:rsidP="00F56175">
      <w:pPr>
        <w:jc w:val="center"/>
        <w:rPr>
          <w:rFonts w:ascii="Times New Roman" w:hAnsi="Times New Roman" w:cs="Times New Roman"/>
          <w:sz w:val="24"/>
          <w:szCs w:val="24"/>
        </w:rPr>
      </w:pPr>
      <w:r w:rsidRPr="006F6B19">
        <w:rPr>
          <w:rFonts w:ascii="Times New Roman" w:hAnsi="Times New Roman" w:cs="Times New Roman"/>
          <w:sz w:val="24"/>
          <w:szCs w:val="24"/>
        </w:rPr>
        <w:t>Технічні, якісні та кількісні вимоги до предмету закупівлі.</w:t>
      </w:r>
    </w:p>
    <w:p w:rsidR="00F56175" w:rsidRPr="005518E5" w:rsidRDefault="00F56175" w:rsidP="00F56175">
      <w:pPr>
        <w:widowControl w:val="0"/>
        <w:autoSpaceDE w:val="0"/>
        <w:autoSpaceDN w:val="0"/>
        <w:jc w:val="right"/>
        <w:rPr>
          <w:rFonts w:ascii="Times New Roman" w:eastAsia="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
        <w:gridCol w:w="5778"/>
        <w:gridCol w:w="1508"/>
        <w:gridCol w:w="1366"/>
      </w:tblGrid>
      <w:tr w:rsidR="00F56175" w:rsidRPr="005518E5" w:rsidTr="00816564">
        <w:trPr>
          <w:trHeight w:val="758"/>
          <w:tblHeader/>
        </w:trPr>
        <w:tc>
          <w:tcPr>
            <w:tcW w:w="919" w:type="dxa"/>
            <w:vAlign w:val="center"/>
          </w:tcPr>
          <w:p w:rsidR="00F56175" w:rsidRPr="005518E5" w:rsidRDefault="00F56175" w:rsidP="00816564">
            <w:pPr>
              <w:jc w:val="center"/>
              <w:rPr>
                <w:rFonts w:ascii="Times New Roman" w:hAnsi="Times New Roman" w:cs="Times New Roman"/>
                <w:bCs/>
                <w:iCs/>
                <w:sz w:val="24"/>
                <w:szCs w:val="24"/>
              </w:rPr>
            </w:pPr>
            <w:r w:rsidRPr="005518E5">
              <w:rPr>
                <w:rFonts w:ascii="Times New Roman" w:hAnsi="Times New Roman" w:cs="Times New Roman"/>
                <w:bCs/>
                <w:iCs/>
                <w:sz w:val="24"/>
                <w:szCs w:val="24"/>
              </w:rPr>
              <w:t>№ п/п</w:t>
            </w:r>
          </w:p>
        </w:tc>
        <w:tc>
          <w:tcPr>
            <w:tcW w:w="5778" w:type="dxa"/>
            <w:vAlign w:val="center"/>
          </w:tcPr>
          <w:p w:rsidR="00F56175" w:rsidRPr="005518E5" w:rsidRDefault="00F56175" w:rsidP="00816564">
            <w:pPr>
              <w:jc w:val="center"/>
              <w:rPr>
                <w:rFonts w:ascii="Times New Roman" w:hAnsi="Times New Roman" w:cs="Times New Roman"/>
                <w:bCs/>
                <w:iCs/>
                <w:sz w:val="24"/>
                <w:szCs w:val="24"/>
              </w:rPr>
            </w:pPr>
            <w:r w:rsidRPr="005518E5">
              <w:rPr>
                <w:rFonts w:ascii="Times New Roman" w:hAnsi="Times New Roman" w:cs="Times New Roman"/>
                <w:bCs/>
                <w:iCs/>
                <w:sz w:val="24"/>
                <w:szCs w:val="24"/>
              </w:rPr>
              <w:t>Найменування</w:t>
            </w:r>
          </w:p>
          <w:p w:rsidR="00F56175" w:rsidRPr="005518E5" w:rsidRDefault="00F56175" w:rsidP="00816564">
            <w:pPr>
              <w:jc w:val="center"/>
              <w:rPr>
                <w:rFonts w:ascii="Times New Roman" w:hAnsi="Times New Roman" w:cs="Times New Roman"/>
                <w:bCs/>
                <w:iCs/>
                <w:sz w:val="24"/>
                <w:szCs w:val="24"/>
              </w:rPr>
            </w:pPr>
            <w:r>
              <w:rPr>
                <w:rFonts w:ascii="Times New Roman" w:hAnsi="Times New Roman" w:cs="Times New Roman"/>
                <w:bCs/>
                <w:iCs/>
                <w:sz w:val="24"/>
                <w:szCs w:val="24"/>
              </w:rPr>
              <w:t>т</w:t>
            </w:r>
            <w:r w:rsidRPr="005518E5">
              <w:rPr>
                <w:rFonts w:ascii="Times New Roman" w:hAnsi="Times New Roman" w:cs="Times New Roman"/>
                <w:bCs/>
                <w:iCs/>
                <w:sz w:val="24"/>
                <w:szCs w:val="24"/>
              </w:rPr>
              <w:t>овару</w:t>
            </w:r>
          </w:p>
        </w:tc>
        <w:tc>
          <w:tcPr>
            <w:tcW w:w="1508" w:type="dxa"/>
            <w:vAlign w:val="center"/>
          </w:tcPr>
          <w:p w:rsidR="00F56175" w:rsidRPr="005518E5" w:rsidRDefault="00F56175" w:rsidP="00816564">
            <w:pPr>
              <w:jc w:val="center"/>
              <w:rPr>
                <w:rFonts w:ascii="Times New Roman" w:hAnsi="Times New Roman" w:cs="Times New Roman"/>
                <w:bCs/>
                <w:iCs/>
                <w:sz w:val="24"/>
                <w:szCs w:val="24"/>
              </w:rPr>
            </w:pPr>
            <w:r w:rsidRPr="005518E5">
              <w:rPr>
                <w:rFonts w:ascii="Times New Roman" w:hAnsi="Times New Roman" w:cs="Times New Roman"/>
                <w:bCs/>
                <w:iCs/>
                <w:sz w:val="24"/>
                <w:szCs w:val="24"/>
              </w:rPr>
              <w:t>Одиниця виміру</w:t>
            </w:r>
          </w:p>
        </w:tc>
        <w:tc>
          <w:tcPr>
            <w:tcW w:w="1366" w:type="dxa"/>
            <w:vAlign w:val="center"/>
          </w:tcPr>
          <w:p w:rsidR="00F56175" w:rsidRPr="005518E5" w:rsidRDefault="00F56175" w:rsidP="00816564">
            <w:pPr>
              <w:jc w:val="center"/>
              <w:rPr>
                <w:rFonts w:ascii="Times New Roman" w:hAnsi="Times New Roman" w:cs="Times New Roman"/>
                <w:bCs/>
                <w:iCs/>
                <w:sz w:val="24"/>
                <w:szCs w:val="24"/>
              </w:rPr>
            </w:pPr>
            <w:proofErr w:type="spellStart"/>
            <w:r w:rsidRPr="005518E5">
              <w:rPr>
                <w:rFonts w:ascii="Times New Roman" w:hAnsi="Times New Roman" w:cs="Times New Roman"/>
                <w:bCs/>
                <w:iCs/>
                <w:sz w:val="24"/>
                <w:szCs w:val="24"/>
              </w:rPr>
              <w:t>К-ть</w:t>
            </w:r>
            <w:proofErr w:type="spellEnd"/>
          </w:p>
        </w:tc>
      </w:tr>
      <w:tr w:rsidR="00F56175" w:rsidRPr="005518E5" w:rsidTr="00816564">
        <w:trPr>
          <w:trHeight w:val="363"/>
        </w:trPr>
        <w:tc>
          <w:tcPr>
            <w:tcW w:w="919" w:type="dxa"/>
          </w:tcPr>
          <w:p w:rsidR="00F56175" w:rsidRPr="005518E5" w:rsidRDefault="00F56175" w:rsidP="00816564">
            <w:pPr>
              <w:jc w:val="center"/>
              <w:rPr>
                <w:rFonts w:ascii="Times New Roman" w:hAnsi="Times New Roman" w:cs="Times New Roman"/>
                <w:sz w:val="24"/>
                <w:szCs w:val="24"/>
              </w:rPr>
            </w:pPr>
            <w:r w:rsidRPr="005518E5">
              <w:rPr>
                <w:rFonts w:ascii="Times New Roman" w:hAnsi="Times New Roman" w:cs="Times New Roman"/>
                <w:sz w:val="24"/>
                <w:szCs w:val="24"/>
              </w:rPr>
              <w:t>1</w:t>
            </w:r>
            <w:r>
              <w:rPr>
                <w:rFonts w:ascii="Times New Roman" w:hAnsi="Times New Roman" w:cs="Times New Roman"/>
                <w:sz w:val="24"/>
                <w:szCs w:val="24"/>
              </w:rPr>
              <w:t>.</w:t>
            </w:r>
          </w:p>
        </w:tc>
        <w:tc>
          <w:tcPr>
            <w:tcW w:w="5778" w:type="dxa"/>
            <w:vAlign w:val="center"/>
          </w:tcPr>
          <w:p w:rsidR="00F56175" w:rsidRPr="005518E5" w:rsidRDefault="00F56175" w:rsidP="00816564">
            <w:pPr>
              <w:outlineLvl w:val="0"/>
              <w:rPr>
                <w:rFonts w:ascii="Times New Roman" w:eastAsia="Times New Roman" w:hAnsi="Times New Roman" w:cs="Times New Roman"/>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w:t>
            </w:r>
            <w:proofErr w:type="spellStart"/>
            <w:r w:rsidRPr="00891775">
              <w:rPr>
                <w:rFonts w:ascii="Times New Roman" w:hAnsi="Times New Roman" w:cs="Times New Roman"/>
                <w:bCs/>
                <w:sz w:val="24"/>
                <w:szCs w:val="24"/>
              </w:rPr>
              <w:t>мітохондріальної</w:t>
            </w:r>
            <w:proofErr w:type="spellEnd"/>
            <w:r w:rsidRPr="00891775">
              <w:rPr>
                <w:rFonts w:ascii="Times New Roman" w:hAnsi="Times New Roman" w:cs="Times New Roman"/>
                <w:bCs/>
                <w:sz w:val="24"/>
                <w:szCs w:val="24"/>
              </w:rPr>
              <w:t xml:space="preserve"> </w:t>
            </w:r>
            <w:proofErr w:type="spellStart"/>
            <w:r w:rsidRPr="00891775">
              <w:rPr>
                <w:rFonts w:ascii="Times New Roman" w:hAnsi="Times New Roman" w:cs="Times New Roman"/>
                <w:bCs/>
                <w:sz w:val="24"/>
                <w:szCs w:val="24"/>
              </w:rPr>
              <w:t>супероксиддисмутази</w:t>
            </w:r>
            <w:proofErr w:type="spellEnd"/>
            <w:r w:rsidRPr="00891775">
              <w:rPr>
                <w:rFonts w:ascii="Times New Roman" w:hAnsi="Times New Roman" w:cs="Times New Roman"/>
                <w:bCs/>
                <w:sz w:val="24"/>
                <w:szCs w:val="24"/>
              </w:rPr>
              <w:t xml:space="preserve"> 2 (SOD2)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tc>
        <w:tc>
          <w:tcPr>
            <w:tcW w:w="1508" w:type="dxa"/>
            <w:vAlign w:val="center"/>
          </w:tcPr>
          <w:p w:rsidR="00F56175" w:rsidRPr="005518E5" w:rsidRDefault="00F56175"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366" w:type="dxa"/>
            <w:vAlign w:val="center"/>
          </w:tcPr>
          <w:p w:rsidR="00F56175" w:rsidRPr="005518E5" w:rsidRDefault="00F56175"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r>
      <w:tr w:rsidR="00F56175" w:rsidRPr="005518E5" w:rsidTr="00816564">
        <w:trPr>
          <w:trHeight w:val="363"/>
        </w:trPr>
        <w:tc>
          <w:tcPr>
            <w:tcW w:w="919" w:type="dxa"/>
          </w:tcPr>
          <w:p w:rsidR="00F56175" w:rsidRPr="005518E5" w:rsidRDefault="00F56175" w:rsidP="00816564">
            <w:pPr>
              <w:jc w:val="center"/>
              <w:rPr>
                <w:rFonts w:ascii="Times New Roman" w:hAnsi="Times New Roman" w:cs="Times New Roman"/>
                <w:sz w:val="24"/>
                <w:szCs w:val="24"/>
              </w:rPr>
            </w:pPr>
            <w:r>
              <w:rPr>
                <w:rFonts w:ascii="Times New Roman" w:hAnsi="Times New Roman" w:cs="Times New Roman"/>
                <w:sz w:val="24"/>
                <w:szCs w:val="24"/>
              </w:rPr>
              <w:t>2.</w:t>
            </w:r>
          </w:p>
        </w:tc>
        <w:tc>
          <w:tcPr>
            <w:tcW w:w="5778" w:type="dxa"/>
            <w:vAlign w:val="center"/>
          </w:tcPr>
          <w:p w:rsidR="00F56175" w:rsidRPr="005518E5" w:rsidRDefault="00F56175"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w:t>
            </w:r>
            <w:proofErr w:type="spellStart"/>
            <w:r w:rsidRPr="00891775">
              <w:rPr>
                <w:rFonts w:ascii="Times New Roman" w:hAnsi="Times New Roman" w:cs="Times New Roman"/>
                <w:bCs/>
                <w:sz w:val="24"/>
                <w:szCs w:val="24"/>
              </w:rPr>
              <w:t>каспази</w:t>
            </w:r>
            <w:proofErr w:type="spellEnd"/>
            <w:r w:rsidRPr="00891775">
              <w:rPr>
                <w:rFonts w:ascii="Times New Roman" w:hAnsi="Times New Roman" w:cs="Times New Roman"/>
                <w:bCs/>
                <w:sz w:val="24"/>
                <w:szCs w:val="24"/>
              </w:rPr>
              <w:t xml:space="preserve"> 3 (CASP3)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tc>
        <w:tc>
          <w:tcPr>
            <w:tcW w:w="1508" w:type="dxa"/>
            <w:vAlign w:val="center"/>
          </w:tcPr>
          <w:p w:rsidR="00F56175" w:rsidRPr="005518E5" w:rsidRDefault="00F56175"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366" w:type="dxa"/>
            <w:vAlign w:val="center"/>
          </w:tcPr>
          <w:p w:rsidR="00F56175" w:rsidRPr="005518E5" w:rsidRDefault="00F56175"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r>
      <w:tr w:rsidR="00F56175" w:rsidRPr="005518E5" w:rsidTr="00816564">
        <w:trPr>
          <w:trHeight w:val="363"/>
        </w:trPr>
        <w:tc>
          <w:tcPr>
            <w:tcW w:w="919" w:type="dxa"/>
          </w:tcPr>
          <w:p w:rsidR="00F56175" w:rsidRPr="005518E5" w:rsidRDefault="00F56175" w:rsidP="00816564">
            <w:pPr>
              <w:jc w:val="center"/>
              <w:rPr>
                <w:rFonts w:ascii="Times New Roman" w:hAnsi="Times New Roman" w:cs="Times New Roman"/>
                <w:sz w:val="24"/>
                <w:szCs w:val="24"/>
              </w:rPr>
            </w:pPr>
            <w:r>
              <w:rPr>
                <w:rFonts w:ascii="Times New Roman" w:hAnsi="Times New Roman" w:cs="Times New Roman"/>
                <w:sz w:val="24"/>
                <w:szCs w:val="24"/>
              </w:rPr>
              <w:t>3.</w:t>
            </w:r>
          </w:p>
        </w:tc>
        <w:tc>
          <w:tcPr>
            <w:tcW w:w="5778" w:type="dxa"/>
            <w:vAlign w:val="center"/>
          </w:tcPr>
          <w:p w:rsidR="00F56175" w:rsidRPr="008B19F0" w:rsidRDefault="00F56175"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легкого ланцюга </w:t>
            </w:r>
            <w:proofErr w:type="spellStart"/>
            <w:r w:rsidRPr="00891775">
              <w:rPr>
                <w:rFonts w:ascii="Times New Roman" w:hAnsi="Times New Roman" w:cs="Times New Roman"/>
                <w:bCs/>
                <w:sz w:val="24"/>
                <w:szCs w:val="24"/>
              </w:rPr>
              <w:t>нейрофіламенту</w:t>
            </w:r>
            <w:proofErr w:type="spellEnd"/>
            <w:r w:rsidRPr="00891775">
              <w:rPr>
                <w:rFonts w:ascii="Times New Roman" w:hAnsi="Times New Roman" w:cs="Times New Roman"/>
                <w:bCs/>
                <w:sz w:val="24"/>
                <w:szCs w:val="24"/>
              </w:rPr>
              <w:t xml:space="preserve"> (NEFL)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tc>
        <w:tc>
          <w:tcPr>
            <w:tcW w:w="1508" w:type="dxa"/>
            <w:vAlign w:val="center"/>
          </w:tcPr>
          <w:p w:rsidR="00F56175" w:rsidRPr="005518E5" w:rsidRDefault="00F56175"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366" w:type="dxa"/>
            <w:vAlign w:val="center"/>
          </w:tcPr>
          <w:p w:rsidR="00F56175" w:rsidRPr="005518E5" w:rsidRDefault="00F56175"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r>
    </w:tbl>
    <w:p w:rsidR="00F56175" w:rsidRPr="00894128" w:rsidRDefault="00F56175" w:rsidP="00F56175">
      <w:pPr>
        <w:pStyle w:val="1"/>
        <w:widowControl w:val="0"/>
        <w:pBdr>
          <w:top w:val="nil"/>
          <w:left w:val="nil"/>
          <w:bottom w:val="nil"/>
          <w:right w:val="nil"/>
          <w:between w:val="nil"/>
        </w:pBdr>
        <w:ind w:firstLine="567"/>
        <w:jc w:val="center"/>
        <w:rPr>
          <w:rFonts w:ascii="Times New Roman" w:eastAsia="Times New Roman" w:hAnsi="Times New Roman" w:cs="Times New Roman"/>
          <w:sz w:val="24"/>
          <w:szCs w:val="24"/>
        </w:rPr>
      </w:pPr>
      <w:bookmarkStart w:id="0" w:name="_GoBack"/>
      <w:bookmarkEnd w:id="0"/>
    </w:p>
    <w:p w:rsidR="00F56175" w:rsidRPr="007E6443" w:rsidRDefault="00F56175" w:rsidP="00F56175">
      <w:pPr>
        <w:shd w:val="clear" w:color="auto" w:fill="FFFFFF"/>
        <w:ind w:firstLine="540"/>
        <w:jc w:val="both"/>
        <w:rPr>
          <w:rFonts w:ascii="Times New Roman" w:hAnsi="Times New Roman" w:cs="Times New Roman"/>
          <w:color w:val="222222"/>
          <w:sz w:val="24"/>
          <w:szCs w:val="24"/>
        </w:rPr>
      </w:pPr>
      <w:r w:rsidRPr="007E6443">
        <w:rPr>
          <w:rFonts w:ascii="Times New Roman" w:hAnsi="Times New Roman" w:cs="Times New Roman"/>
          <w:sz w:val="24"/>
          <w:szCs w:val="24"/>
        </w:rPr>
        <w:t>1.</w:t>
      </w:r>
      <w:r>
        <w:rPr>
          <w:rFonts w:ascii="Times New Roman" w:hAnsi="Times New Roman" w:cs="Times New Roman"/>
          <w:sz w:val="24"/>
          <w:szCs w:val="24"/>
        </w:rPr>
        <w:t xml:space="preserve"> </w:t>
      </w:r>
      <w:r w:rsidRPr="007E6443">
        <w:rPr>
          <w:rFonts w:ascii="Times New Roman" w:hAnsi="Times New Roman" w:cs="Times New Roman"/>
          <w:color w:val="222222"/>
          <w:sz w:val="24"/>
          <w:szCs w:val="24"/>
        </w:rPr>
        <w:t xml:space="preserve">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 повинні бути дозволені до застосування на території України. (надати на кожне найменування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 Постановою КМУ від 02.10.2013 р. № 754 «Про затвердження Технічного регламенту щодо медичних виробів для діагностики </w:t>
      </w:r>
      <w:proofErr w:type="spellStart"/>
      <w:r w:rsidRPr="007E6443">
        <w:rPr>
          <w:rFonts w:ascii="Times New Roman" w:hAnsi="Times New Roman" w:cs="Times New Roman"/>
          <w:color w:val="222222"/>
          <w:sz w:val="24"/>
          <w:szCs w:val="24"/>
        </w:rPr>
        <w:t>in</w:t>
      </w:r>
      <w:proofErr w:type="spellEnd"/>
      <w:r w:rsidRPr="007E6443">
        <w:rPr>
          <w:rFonts w:ascii="Times New Roman" w:hAnsi="Times New Roman" w:cs="Times New Roman"/>
          <w:color w:val="222222"/>
          <w:sz w:val="24"/>
          <w:szCs w:val="24"/>
        </w:rPr>
        <w:t xml:space="preserve"> </w:t>
      </w:r>
      <w:proofErr w:type="spellStart"/>
      <w:r w:rsidRPr="007E6443">
        <w:rPr>
          <w:rFonts w:ascii="Times New Roman" w:hAnsi="Times New Roman" w:cs="Times New Roman"/>
          <w:color w:val="222222"/>
          <w:sz w:val="24"/>
          <w:szCs w:val="24"/>
        </w:rPr>
        <w:t>vitro</w:t>
      </w:r>
      <w:proofErr w:type="spellEnd"/>
      <w:r w:rsidRPr="007E6443">
        <w:rPr>
          <w:rFonts w:ascii="Times New Roman" w:hAnsi="Times New Roman" w:cs="Times New Roman"/>
          <w:color w:val="222222"/>
          <w:sz w:val="24"/>
          <w:szCs w:val="24"/>
        </w:rPr>
        <w:t>», або завірені копії Свідоцтв про державну реєстрацію, що свідчать про наявність товару в Державному реєстрі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(з урахуванням вимог п. 2</w:t>
      </w:r>
      <w:r w:rsidRPr="007E6443">
        <w:rPr>
          <w:rFonts w:ascii="Times New Roman" w:hAnsi="Times New Roman" w:cs="Times New Roman"/>
          <w:color w:val="222222"/>
          <w:sz w:val="24"/>
          <w:szCs w:val="24"/>
          <w:vertAlign w:val="superscript"/>
        </w:rPr>
        <w:t>1</w:t>
      </w:r>
      <w:r w:rsidRPr="007E6443">
        <w:rPr>
          <w:rFonts w:ascii="Times New Roman" w:hAnsi="Times New Roman" w:cs="Times New Roman"/>
          <w:color w:val="222222"/>
          <w:sz w:val="24"/>
          <w:szCs w:val="24"/>
        </w:rPr>
        <w:t> Постанови КМУ від 02.10.2013 р. № 753, п. 2</w:t>
      </w:r>
      <w:r w:rsidRPr="007E6443">
        <w:rPr>
          <w:rFonts w:ascii="Times New Roman" w:hAnsi="Times New Roman" w:cs="Times New Roman"/>
          <w:color w:val="222222"/>
          <w:sz w:val="24"/>
          <w:szCs w:val="24"/>
          <w:vertAlign w:val="superscript"/>
        </w:rPr>
        <w:t>1</w:t>
      </w:r>
      <w:r w:rsidRPr="007E6443">
        <w:rPr>
          <w:rFonts w:ascii="Times New Roman" w:hAnsi="Times New Roman" w:cs="Times New Roman"/>
          <w:color w:val="222222"/>
          <w:sz w:val="24"/>
          <w:szCs w:val="24"/>
        </w:rPr>
        <w:t> Постанови КМУ від 02.10.2013 р. № 754);</w:t>
      </w:r>
    </w:p>
    <w:p w:rsidR="00F56175" w:rsidRPr="007E6443" w:rsidRDefault="00F56175" w:rsidP="00F56175">
      <w:pPr>
        <w:shd w:val="clear" w:color="auto" w:fill="FFFFFF"/>
        <w:spacing w:line="220" w:lineRule="atLeast"/>
        <w:ind w:firstLine="567"/>
        <w:jc w:val="both"/>
        <w:rPr>
          <w:rFonts w:ascii="Times New Roman" w:hAnsi="Times New Roman" w:cs="Times New Roman"/>
          <w:i/>
          <w:iCs/>
          <w:color w:val="222222"/>
          <w:sz w:val="24"/>
          <w:szCs w:val="24"/>
        </w:rPr>
      </w:pPr>
      <w:r w:rsidRPr="007E6443">
        <w:rPr>
          <w:rFonts w:ascii="Times New Roman" w:hAnsi="Times New Roman" w:cs="Times New Roman"/>
          <w:i/>
          <w:iCs/>
          <w:color w:val="222222"/>
          <w:sz w:val="24"/>
          <w:szCs w:val="24"/>
        </w:rPr>
        <w:t>На підтвердження Учасник у складі тендерної пропозиції повинен надати копію дозволу на застосування в медичній практиці та/або копію декларації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та/або реєстраційне посвідчення та/або сертифікат відповідності та/або інший документ, що підтверджує якість товару та/або пояснювальну записку про відсутність потреби отримувати такі документи на вироби медичного призначення (запропонований товар).</w:t>
      </w:r>
    </w:p>
    <w:p w:rsidR="00F56175" w:rsidRPr="008F75FC" w:rsidRDefault="00F56175" w:rsidP="00F56175">
      <w:pPr>
        <w:shd w:val="clear" w:color="auto" w:fill="FFFFFF"/>
        <w:spacing w:line="220" w:lineRule="atLeast"/>
        <w:ind w:firstLine="567"/>
        <w:jc w:val="both"/>
        <w:rPr>
          <w:rFonts w:ascii="Times New Roman" w:hAnsi="Times New Roman" w:cs="Times New Roman"/>
          <w:bCs/>
          <w:color w:val="222222"/>
          <w:sz w:val="24"/>
          <w:szCs w:val="24"/>
        </w:rPr>
      </w:pPr>
      <w:r w:rsidRPr="00E47355">
        <w:rPr>
          <w:rFonts w:ascii="Times New Roman" w:hAnsi="Times New Roman" w:cs="Times New Roman"/>
          <w:iCs/>
          <w:color w:val="222222"/>
          <w:sz w:val="24"/>
          <w:szCs w:val="24"/>
        </w:rPr>
        <w:t>2.</w:t>
      </w:r>
      <w:r>
        <w:rPr>
          <w:rFonts w:ascii="Times New Roman" w:hAnsi="Times New Roman" w:cs="Times New Roman"/>
          <w:i/>
          <w:iCs/>
          <w:color w:val="222222"/>
          <w:sz w:val="24"/>
          <w:szCs w:val="24"/>
        </w:rPr>
        <w:t xml:space="preserve"> </w:t>
      </w:r>
      <w:r w:rsidRPr="007E6443">
        <w:rPr>
          <w:rFonts w:ascii="Times New Roman" w:hAnsi="Times New Roman" w:cs="Times New Roman"/>
          <w:color w:val="222222"/>
          <w:sz w:val="24"/>
          <w:szCs w:val="24"/>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r w:rsidRPr="008F75FC">
        <w:rPr>
          <w:rFonts w:ascii="Times New Roman" w:hAnsi="Times New Roman" w:cs="Times New Roman"/>
          <w:bCs/>
          <w:color w:val="222222"/>
          <w:sz w:val="24"/>
          <w:szCs w:val="24"/>
        </w:rPr>
        <w:t>.</w:t>
      </w:r>
    </w:p>
    <w:p w:rsidR="00F56175" w:rsidRPr="007E6443" w:rsidRDefault="00F56175" w:rsidP="00F56175">
      <w:pPr>
        <w:shd w:val="clear" w:color="auto" w:fill="FFFFFF"/>
        <w:spacing w:line="220" w:lineRule="atLeast"/>
        <w:ind w:firstLine="567"/>
        <w:jc w:val="both"/>
        <w:rPr>
          <w:rFonts w:ascii="Times New Roman" w:hAnsi="Times New Roman" w:cs="Times New Roman"/>
          <w:sz w:val="24"/>
          <w:szCs w:val="24"/>
        </w:rPr>
      </w:pPr>
      <w:r w:rsidRPr="007E6443">
        <w:rPr>
          <w:rFonts w:ascii="Times New Roman" w:hAnsi="Times New Roman" w:cs="Times New Roman"/>
          <w:bCs/>
          <w:color w:val="222222"/>
          <w:sz w:val="24"/>
          <w:szCs w:val="24"/>
        </w:rPr>
        <w:t>3.</w:t>
      </w:r>
      <w:r>
        <w:rPr>
          <w:rFonts w:ascii="Times New Roman" w:hAnsi="Times New Roman" w:cs="Times New Roman"/>
          <w:bCs/>
          <w:color w:val="222222"/>
          <w:sz w:val="24"/>
          <w:szCs w:val="24"/>
        </w:rPr>
        <w:t xml:space="preserve"> </w:t>
      </w:r>
      <w:r w:rsidRPr="007E6443">
        <w:rPr>
          <w:rFonts w:ascii="Times New Roman" w:hAnsi="Times New Roman" w:cs="Times New Roman"/>
          <w:color w:val="222222"/>
          <w:sz w:val="24"/>
          <w:szCs w:val="24"/>
        </w:rPr>
        <w:t>Товар</w:t>
      </w:r>
      <w:r w:rsidRPr="007E6443">
        <w:rPr>
          <w:rFonts w:ascii="Times New Roman" w:hAnsi="Times New Roman" w:cs="Times New Roman"/>
          <w:sz w:val="24"/>
          <w:szCs w:val="24"/>
        </w:rPr>
        <w:t xml:space="preserve">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rsidR="00F56175" w:rsidRPr="007E6443" w:rsidRDefault="00F56175" w:rsidP="00F56175">
      <w:pPr>
        <w:shd w:val="clear" w:color="auto" w:fill="FFFFFF"/>
        <w:spacing w:line="220" w:lineRule="atLeast"/>
        <w:ind w:firstLine="567"/>
        <w:jc w:val="both"/>
        <w:rPr>
          <w:rFonts w:ascii="Times New Roman" w:hAnsi="Times New Roman" w:cs="Times New Roman"/>
          <w:color w:val="222222"/>
          <w:sz w:val="24"/>
          <w:szCs w:val="24"/>
        </w:rPr>
      </w:pPr>
      <w:r w:rsidRPr="007E6443">
        <w:rPr>
          <w:rFonts w:ascii="Times New Roman" w:hAnsi="Times New Roman" w:cs="Times New Roman"/>
          <w:color w:val="222222"/>
          <w:sz w:val="24"/>
          <w:szCs w:val="24"/>
        </w:rPr>
        <w:t>4.</w:t>
      </w:r>
      <w:r>
        <w:rPr>
          <w:rFonts w:ascii="Times New Roman" w:hAnsi="Times New Roman" w:cs="Times New Roman"/>
          <w:color w:val="222222"/>
          <w:sz w:val="24"/>
          <w:szCs w:val="24"/>
        </w:rPr>
        <w:t xml:space="preserve"> </w:t>
      </w:r>
      <w:r w:rsidRPr="007E6443">
        <w:rPr>
          <w:rFonts w:ascii="Times New Roman" w:hAnsi="Times New Roman" w:cs="Times New Roman"/>
          <w:color w:val="222222"/>
          <w:sz w:val="24"/>
          <w:szCs w:val="24"/>
        </w:rPr>
        <w:t xml:space="preserve">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w:t>
      </w:r>
      <w:r w:rsidRPr="007E6443">
        <w:rPr>
          <w:rFonts w:ascii="Times New Roman" w:hAnsi="Times New Roman" w:cs="Times New Roman"/>
          <w:color w:val="222222"/>
          <w:sz w:val="24"/>
          <w:szCs w:val="24"/>
        </w:rPr>
        <w:lastRenderedPageBreak/>
        <w:t>завірені підписом уповноваженої особи Учасника,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F56175" w:rsidRPr="007E6443" w:rsidRDefault="00F56175" w:rsidP="00F56175">
      <w:pPr>
        <w:shd w:val="clear" w:color="auto" w:fill="FFFFFF"/>
        <w:ind w:firstLine="540"/>
        <w:jc w:val="both"/>
        <w:rPr>
          <w:rFonts w:ascii="Times New Roman" w:hAnsi="Times New Roman" w:cs="Times New Roman"/>
          <w:color w:val="222222"/>
          <w:sz w:val="24"/>
          <w:szCs w:val="24"/>
        </w:rPr>
      </w:pPr>
      <w:r w:rsidRPr="007E6443">
        <w:rPr>
          <w:rFonts w:ascii="Times New Roman" w:hAnsi="Times New Roman" w:cs="Times New Roman"/>
          <w:color w:val="222222"/>
          <w:sz w:val="24"/>
          <w:szCs w:val="24"/>
        </w:rPr>
        <w:t>5.</w:t>
      </w:r>
      <w:r>
        <w:rPr>
          <w:rFonts w:ascii="Times New Roman" w:hAnsi="Times New Roman" w:cs="Times New Roman"/>
          <w:color w:val="222222"/>
          <w:sz w:val="24"/>
          <w:szCs w:val="24"/>
        </w:rPr>
        <w:t xml:space="preserve"> </w:t>
      </w:r>
      <w:r w:rsidRPr="007E6443">
        <w:rPr>
          <w:rFonts w:ascii="Times New Roman" w:hAnsi="Times New Roman" w:cs="Times New Roman"/>
          <w:color w:val="222222"/>
          <w:sz w:val="24"/>
          <w:szCs w:val="24"/>
        </w:rPr>
        <w:t>Учасник повинен забезпечувати належні умов</w:t>
      </w:r>
      <w:r>
        <w:rPr>
          <w:rFonts w:ascii="Times New Roman" w:hAnsi="Times New Roman" w:cs="Times New Roman"/>
          <w:color w:val="222222"/>
          <w:sz w:val="24"/>
          <w:szCs w:val="24"/>
        </w:rPr>
        <w:t>и зберігання та транспортування</w:t>
      </w:r>
      <w:r w:rsidRPr="007E6443">
        <w:rPr>
          <w:rFonts w:ascii="Times New Roman" w:hAnsi="Times New Roman" w:cs="Times New Roman"/>
          <w:color w:val="222222"/>
          <w:sz w:val="24"/>
          <w:szCs w:val="24"/>
        </w:rPr>
        <w:t xml:space="preserve"> запропонованих наборів з забезпеченням умов </w:t>
      </w:r>
      <w:r>
        <w:rPr>
          <w:rFonts w:ascii="Times New Roman" w:hAnsi="Times New Roman" w:cs="Times New Roman"/>
          <w:color w:val="222222"/>
          <w:sz w:val="24"/>
          <w:szCs w:val="24"/>
        </w:rPr>
        <w:t>«</w:t>
      </w:r>
      <w:r w:rsidRPr="007E6443">
        <w:rPr>
          <w:rFonts w:ascii="Times New Roman" w:hAnsi="Times New Roman" w:cs="Times New Roman"/>
          <w:color w:val="222222"/>
          <w:sz w:val="24"/>
          <w:szCs w:val="24"/>
        </w:rPr>
        <w:t>холодового ланцюга</w:t>
      </w:r>
      <w:r>
        <w:rPr>
          <w:rFonts w:ascii="Times New Roman" w:hAnsi="Times New Roman" w:cs="Times New Roman"/>
          <w:color w:val="222222"/>
          <w:sz w:val="24"/>
          <w:szCs w:val="24"/>
        </w:rPr>
        <w:t>»</w:t>
      </w:r>
      <w:r w:rsidRPr="007E6443">
        <w:rPr>
          <w:rFonts w:ascii="Times New Roman" w:hAnsi="Times New Roman" w:cs="Times New Roman"/>
          <w:color w:val="222222"/>
          <w:sz w:val="24"/>
          <w:szCs w:val="24"/>
        </w:rPr>
        <w:t xml:space="preserve"> (</w:t>
      </w:r>
      <w:r w:rsidRPr="005518E5">
        <w:rPr>
          <w:rFonts w:ascii="Times New Roman" w:hAnsi="Times New Roman" w:cs="Times New Roman"/>
          <w:sz w:val="24"/>
          <w:szCs w:val="24"/>
        </w:rPr>
        <w:t>зберігання компонентів наборів при температурі 2-8</w:t>
      </w:r>
      <w:r>
        <w:rPr>
          <w:rFonts w:ascii="Times New Roman" w:hAnsi="Times New Roman" w:cs="Times New Roman"/>
          <w:sz w:val="24"/>
          <w:szCs w:val="24"/>
        </w:rPr>
        <w:t xml:space="preserve">°С, </w:t>
      </w:r>
      <w:r w:rsidRPr="005518E5">
        <w:rPr>
          <w:rFonts w:ascii="Times New Roman" w:hAnsi="Times New Roman" w:cs="Times New Roman"/>
          <w:sz w:val="24"/>
          <w:szCs w:val="24"/>
        </w:rPr>
        <w:t>що підтверджено транспортним температурним моніторингом.</w:t>
      </w:r>
    </w:p>
    <w:p w:rsidR="00F56175" w:rsidRPr="007E6443" w:rsidRDefault="00F56175" w:rsidP="00F56175">
      <w:pPr>
        <w:shd w:val="clear" w:color="auto" w:fill="FFFFFF"/>
        <w:ind w:firstLine="540"/>
        <w:jc w:val="both"/>
        <w:rPr>
          <w:rFonts w:ascii="Times New Roman" w:hAnsi="Times New Roman" w:cs="Times New Roman"/>
          <w:sz w:val="24"/>
          <w:szCs w:val="24"/>
        </w:rPr>
      </w:pPr>
      <w:r w:rsidRPr="007E6443">
        <w:rPr>
          <w:rFonts w:ascii="Times New Roman" w:hAnsi="Times New Roman" w:cs="Times New Roman"/>
          <w:color w:val="222222"/>
          <w:sz w:val="24"/>
          <w:szCs w:val="24"/>
        </w:rPr>
        <w:t>6.</w:t>
      </w:r>
      <w:r>
        <w:rPr>
          <w:rFonts w:ascii="Times New Roman" w:hAnsi="Times New Roman" w:cs="Times New Roman"/>
          <w:color w:val="222222"/>
          <w:sz w:val="24"/>
          <w:szCs w:val="24"/>
        </w:rPr>
        <w:t xml:space="preserve"> </w:t>
      </w:r>
      <w:r w:rsidRPr="007D71C3">
        <w:rPr>
          <w:rFonts w:ascii="Times New Roman" w:hAnsi="Times New Roman" w:cs="Times New Roman"/>
          <w:sz w:val="24"/>
          <w:szCs w:val="24"/>
        </w:rPr>
        <w:t>Дата виробництва –</w:t>
      </w:r>
      <w:r>
        <w:rPr>
          <w:rFonts w:ascii="Times New Roman" w:hAnsi="Times New Roman" w:cs="Times New Roman"/>
          <w:sz w:val="24"/>
          <w:szCs w:val="24"/>
        </w:rPr>
        <w:t xml:space="preserve"> </w:t>
      </w:r>
      <w:r w:rsidRPr="007D71C3">
        <w:rPr>
          <w:rFonts w:ascii="Times New Roman" w:hAnsi="Times New Roman" w:cs="Times New Roman"/>
          <w:sz w:val="24"/>
          <w:szCs w:val="24"/>
        </w:rPr>
        <w:t>202</w:t>
      </w:r>
      <w:r>
        <w:rPr>
          <w:rFonts w:ascii="Times New Roman" w:hAnsi="Times New Roman" w:cs="Times New Roman"/>
          <w:sz w:val="24"/>
          <w:szCs w:val="24"/>
        </w:rPr>
        <w:t>3</w:t>
      </w:r>
      <w:r w:rsidRPr="007D71C3">
        <w:rPr>
          <w:rFonts w:ascii="Times New Roman" w:hAnsi="Times New Roman" w:cs="Times New Roman"/>
          <w:sz w:val="24"/>
          <w:szCs w:val="24"/>
        </w:rPr>
        <w:t xml:space="preserve"> р</w:t>
      </w:r>
      <w:r>
        <w:rPr>
          <w:rFonts w:ascii="Times New Roman" w:hAnsi="Times New Roman" w:cs="Times New Roman"/>
          <w:sz w:val="24"/>
          <w:szCs w:val="24"/>
        </w:rPr>
        <w:t>ік</w:t>
      </w:r>
      <w:r w:rsidRPr="007D71C3">
        <w:rPr>
          <w:rFonts w:ascii="Times New Roman" w:hAnsi="Times New Roman" w:cs="Times New Roman"/>
          <w:sz w:val="24"/>
          <w:szCs w:val="24"/>
        </w:rPr>
        <w:t>, із кінцевим строком використання не менше 75% від загального терміну придатності.</w:t>
      </w:r>
    </w:p>
    <w:p w:rsidR="00F56175" w:rsidRDefault="00F56175" w:rsidP="00F56175">
      <w:pPr>
        <w:shd w:val="clear" w:color="auto" w:fill="FFFFFF"/>
        <w:ind w:firstLine="540"/>
        <w:jc w:val="both"/>
        <w:rPr>
          <w:rFonts w:ascii="Times New Roman" w:hAnsi="Times New Roman" w:cs="Times New Roman"/>
          <w:sz w:val="24"/>
          <w:szCs w:val="24"/>
        </w:rPr>
      </w:pPr>
      <w:r w:rsidRPr="007E6443">
        <w:rPr>
          <w:rFonts w:ascii="Times New Roman" w:hAnsi="Times New Roman" w:cs="Times New Roman"/>
          <w:sz w:val="24"/>
          <w:szCs w:val="24"/>
        </w:rPr>
        <w:t>7.</w:t>
      </w:r>
      <w:r>
        <w:rPr>
          <w:rFonts w:ascii="Times New Roman" w:hAnsi="Times New Roman" w:cs="Times New Roman"/>
          <w:sz w:val="24"/>
          <w:szCs w:val="24"/>
        </w:rPr>
        <w:t xml:space="preserve"> </w:t>
      </w:r>
      <w:r w:rsidRPr="007E6443">
        <w:rPr>
          <w:rFonts w:ascii="Times New Roman" w:hAnsi="Times New Roman" w:cs="Times New Roman"/>
          <w:sz w:val="24"/>
          <w:szCs w:val="24"/>
        </w:rPr>
        <w:t xml:space="preserve">Товар повинен бути новим, цілим, без пошкоджень заводської упаковки та її </w:t>
      </w:r>
      <w:r>
        <w:rPr>
          <w:rFonts w:ascii="Times New Roman" w:hAnsi="Times New Roman" w:cs="Times New Roman"/>
          <w:sz w:val="24"/>
          <w:szCs w:val="24"/>
        </w:rPr>
        <w:t>в</w:t>
      </w:r>
      <w:r w:rsidRPr="007E6443">
        <w:rPr>
          <w:rFonts w:ascii="Times New Roman" w:hAnsi="Times New Roman" w:cs="Times New Roman"/>
          <w:sz w:val="24"/>
          <w:szCs w:val="24"/>
        </w:rPr>
        <w:t>місту.</w:t>
      </w:r>
    </w:p>
    <w:p w:rsidR="00F56175" w:rsidRDefault="00F56175" w:rsidP="00F56175">
      <w:pPr>
        <w:shd w:val="clear" w:color="auto" w:fill="FFFFFF"/>
        <w:ind w:firstLine="540"/>
        <w:jc w:val="both"/>
        <w:rPr>
          <w:rFonts w:ascii="Times New Roman" w:hAnsi="Times New Roman" w:cs="Times New Roman"/>
          <w:sz w:val="24"/>
          <w:szCs w:val="24"/>
        </w:rPr>
      </w:pPr>
      <w:r w:rsidRPr="007A62F5">
        <w:rPr>
          <w:rFonts w:ascii="Times New Roman" w:hAnsi="Times New Roman" w:cs="Times New Roman"/>
          <w:sz w:val="24"/>
          <w:szCs w:val="24"/>
          <w:lang w:val="ru-RU"/>
        </w:rPr>
        <w:t>8</w:t>
      </w:r>
      <w:r>
        <w:rPr>
          <w:rFonts w:ascii="Times New Roman" w:hAnsi="Times New Roman" w:cs="Times New Roman"/>
          <w:sz w:val="24"/>
          <w:szCs w:val="24"/>
        </w:rPr>
        <w:t xml:space="preserve">. </w:t>
      </w:r>
      <w:r w:rsidRPr="007A62F5">
        <w:rPr>
          <w:rFonts w:ascii="Times New Roman" w:hAnsi="Times New Roman" w:cs="Times New Roman"/>
          <w:sz w:val="24"/>
          <w:szCs w:val="24"/>
        </w:rPr>
        <w:t>Технічні характеристики</w:t>
      </w:r>
      <w:r>
        <w:rPr>
          <w:rFonts w:ascii="Times New Roman" w:hAnsi="Times New Roman" w:cs="Times New Roman"/>
          <w:sz w:val="24"/>
          <w:szCs w:val="24"/>
        </w:rPr>
        <w:t xml:space="preserve"> до діагностичних наборів для </w:t>
      </w:r>
      <w:proofErr w:type="spellStart"/>
      <w:r>
        <w:rPr>
          <w:rFonts w:ascii="Times New Roman" w:hAnsi="Times New Roman" w:cs="Times New Roman"/>
          <w:sz w:val="24"/>
          <w:szCs w:val="24"/>
        </w:rPr>
        <w:t>імуноферментного</w:t>
      </w:r>
      <w:proofErr w:type="spellEnd"/>
      <w:r>
        <w:rPr>
          <w:rFonts w:ascii="Times New Roman" w:hAnsi="Times New Roman" w:cs="Times New Roman"/>
          <w:sz w:val="24"/>
          <w:szCs w:val="24"/>
        </w:rPr>
        <w:t xml:space="preserve"> аналізу:</w:t>
      </w:r>
    </w:p>
    <w:p w:rsidR="00F56175" w:rsidRDefault="00F56175" w:rsidP="00F56175">
      <w:pPr>
        <w:shd w:val="clear" w:color="auto" w:fill="FFFFFF"/>
        <w:ind w:firstLine="540"/>
        <w:jc w:val="both"/>
        <w:rPr>
          <w:rFonts w:ascii="Times New Roman" w:hAnsi="Times New Roman" w:cs="Times New Roman"/>
          <w:bCs/>
          <w:sz w:val="24"/>
          <w:szCs w:val="24"/>
        </w:rPr>
      </w:pPr>
      <w:r>
        <w:rPr>
          <w:rFonts w:ascii="Times New Roman" w:hAnsi="Times New Roman" w:cs="Times New Roman"/>
          <w:sz w:val="24"/>
          <w:szCs w:val="24"/>
        </w:rPr>
        <w:t xml:space="preserve">а) по </w:t>
      </w:r>
      <w:r w:rsidRPr="008B19F0">
        <w:rPr>
          <w:rFonts w:ascii="Times New Roman" w:hAnsi="Times New Roman" w:cs="Times New Roman"/>
          <w:bCs/>
          <w:sz w:val="24"/>
          <w:szCs w:val="24"/>
        </w:rPr>
        <w:t>кількісно</w:t>
      </w:r>
      <w:r>
        <w:rPr>
          <w:rFonts w:ascii="Times New Roman" w:hAnsi="Times New Roman" w:cs="Times New Roman"/>
          <w:bCs/>
          <w:sz w:val="24"/>
          <w:szCs w:val="24"/>
        </w:rPr>
        <w:t>му</w:t>
      </w:r>
      <w:r w:rsidRPr="008B19F0">
        <w:rPr>
          <w:rFonts w:ascii="Times New Roman" w:hAnsi="Times New Roman" w:cs="Times New Roman"/>
          <w:bCs/>
          <w:sz w:val="24"/>
          <w:szCs w:val="24"/>
        </w:rPr>
        <w:t xml:space="preserve"> визначенн</w:t>
      </w:r>
      <w:r>
        <w:rPr>
          <w:rFonts w:ascii="Times New Roman" w:hAnsi="Times New Roman" w:cs="Times New Roman"/>
          <w:bCs/>
          <w:sz w:val="24"/>
          <w:szCs w:val="24"/>
        </w:rPr>
        <w:t>ю</w:t>
      </w:r>
      <w:r w:rsidRPr="008B19F0">
        <w:rPr>
          <w:rFonts w:ascii="Times New Roman" w:hAnsi="Times New Roman" w:cs="Times New Roman"/>
          <w:bCs/>
          <w:sz w:val="24"/>
          <w:szCs w:val="24"/>
        </w:rPr>
        <w:t xml:space="preserve"> </w:t>
      </w:r>
      <w:r w:rsidRPr="005518E5">
        <w:rPr>
          <w:rFonts w:ascii="Times New Roman" w:hAnsi="Times New Roman" w:cs="Times New Roman"/>
          <w:bCs/>
          <w:sz w:val="24"/>
          <w:szCs w:val="24"/>
        </w:rPr>
        <w:t xml:space="preserve">рівня </w:t>
      </w:r>
      <w:proofErr w:type="spellStart"/>
      <w:r w:rsidRPr="00891775">
        <w:rPr>
          <w:rFonts w:ascii="Times New Roman" w:hAnsi="Times New Roman" w:cs="Times New Roman"/>
          <w:bCs/>
          <w:sz w:val="24"/>
          <w:szCs w:val="24"/>
        </w:rPr>
        <w:t>мітохондріальної</w:t>
      </w:r>
      <w:proofErr w:type="spellEnd"/>
      <w:r w:rsidRPr="00891775">
        <w:rPr>
          <w:rFonts w:ascii="Times New Roman" w:hAnsi="Times New Roman" w:cs="Times New Roman"/>
          <w:bCs/>
          <w:sz w:val="24"/>
          <w:szCs w:val="24"/>
        </w:rPr>
        <w:t xml:space="preserve"> </w:t>
      </w:r>
      <w:proofErr w:type="spellStart"/>
      <w:r w:rsidRPr="00891775">
        <w:rPr>
          <w:rFonts w:ascii="Times New Roman" w:hAnsi="Times New Roman" w:cs="Times New Roman"/>
          <w:bCs/>
          <w:sz w:val="24"/>
          <w:szCs w:val="24"/>
        </w:rPr>
        <w:t>супероксиддисмутази</w:t>
      </w:r>
      <w:proofErr w:type="spellEnd"/>
      <w:r w:rsidRPr="00891775">
        <w:rPr>
          <w:rFonts w:ascii="Times New Roman" w:hAnsi="Times New Roman" w:cs="Times New Roman"/>
          <w:bCs/>
          <w:sz w:val="24"/>
          <w:szCs w:val="24"/>
        </w:rPr>
        <w:t xml:space="preserve"> 2 (SOD2) </w:t>
      </w:r>
      <w:r w:rsidRPr="005518E5">
        <w:rPr>
          <w:rFonts w:ascii="Times New Roman" w:hAnsi="Times New Roman" w:cs="Times New Roman"/>
          <w:bCs/>
          <w:sz w:val="24"/>
          <w:szCs w:val="24"/>
        </w:rPr>
        <w:t>у сироватці крові щурів</w:t>
      </w:r>
      <w:r>
        <w:rPr>
          <w:rFonts w:ascii="Times New Roman" w:hAnsi="Times New Roman" w:cs="Times New Roman"/>
          <w:bCs/>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 xml:space="preserve">Чутливість: </w:t>
      </w:r>
      <w:r w:rsidRPr="00891775">
        <w:rPr>
          <w:rFonts w:ascii="Times New Roman" w:hAnsi="Times New Roman" w:cs="Times New Roman"/>
          <w:sz w:val="24"/>
          <w:szCs w:val="24"/>
        </w:rPr>
        <w:t xml:space="preserve">не гірше (не вище) ніж 18,75 </w:t>
      </w:r>
      <w:proofErr w:type="spellStart"/>
      <w:r w:rsidRPr="00891775">
        <w:rPr>
          <w:rFonts w:ascii="Times New Roman" w:hAnsi="Times New Roman" w:cs="Times New Roman"/>
          <w:sz w:val="24"/>
          <w:szCs w:val="24"/>
        </w:rPr>
        <w:t>пг</w:t>
      </w:r>
      <w:proofErr w:type="spellEnd"/>
      <w:r w:rsidRPr="00891775">
        <w:rPr>
          <w:rFonts w:ascii="Times New Roman" w:hAnsi="Times New Roman" w:cs="Times New Roman"/>
          <w:sz w:val="24"/>
          <w:szCs w:val="24"/>
        </w:rPr>
        <w:t>/</w:t>
      </w:r>
      <w:proofErr w:type="spellStart"/>
      <w:r w:rsidRPr="00891775">
        <w:rPr>
          <w:rFonts w:ascii="Times New Roman" w:hAnsi="Times New Roman" w:cs="Times New Roman"/>
          <w:sz w:val="24"/>
          <w:szCs w:val="24"/>
        </w:rPr>
        <w:t>мл</w:t>
      </w:r>
      <w:proofErr w:type="spellEnd"/>
      <w:r w:rsidRPr="007A62F5">
        <w:rPr>
          <w:rFonts w:ascii="Times New Roman" w:hAnsi="Times New Roman" w:cs="Times New Roman"/>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 xml:space="preserve">Діапазон визначення: </w:t>
      </w:r>
      <w:r w:rsidRPr="00891775">
        <w:rPr>
          <w:rFonts w:ascii="Times New Roman" w:hAnsi="Times New Roman" w:cs="Times New Roman"/>
          <w:sz w:val="24"/>
          <w:szCs w:val="24"/>
        </w:rPr>
        <w:t xml:space="preserve">не гірше (не вужче) ніж 31,25-2000 </w:t>
      </w:r>
      <w:proofErr w:type="spellStart"/>
      <w:r w:rsidRPr="00891775">
        <w:rPr>
          <w:rFonts w:ascii="Times New Roman" w:hAnsi="Times New Roman" w:cs="Times New Roman"/>
          <w:sz w:val="24"/>
          <w:szCs w:val="24"/>
        </w:rPr>
        <w:t>пг</w:t>
      </w:r>
      <w:proofErr w:type="spellEnd"/>
      <w:r w:rsidRPr="00891775">
        <w:rPr>
          <w:rFonts w:ascii="Times New Roman" w:hAnsi="Times New Roman" w:cs="Times New Roman"/>
          <w:sz w:val="24"/>
          <w:szCs w:val="24"/>
        </w:rPr>
        <w:t>/</w:t>
      </w:r>
      <w:proofErr w:type="spellStart"/>
      <w:r w:rsidRPr="00891775">
        <w:rPr>
          <w:rFonts w:ascii="Times New Roman" w:hAnsi="Times New Roman" w:cs="Times New Roman"/>
          <w:sz w:val="24"/>
          <w:szCs w:val="24"/>
        </w:rPr>
        <w:t>мл</w:t>
      </w:r>
      <w:proofErr w:type="spellEnd"/>
      <w:r>
        <w:rPr>
          <w:rFonts w:ascii="Times New Roman" w:hAnsi="Times New Roman" w:cs="Times New Roman"/>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Коефіцієнт варіаці</w:t>
      </w:r>
      <w:r>
        <w:rPr>
          <w:rFonts w:ascii="Times New Roman" w:hAnsi="Times New Roman" w:cs="Times New Roman"/>
          <w:sz w:val="24"/>
          <w:szCs w:val="24"/>
        </w:rPr>
        <w:t>ї: не гірше (не більше) ніж 10%;</w:t>
      </w:r>
    </w:p>
    <w:p w:rsidR="00F5617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Набір передбачений для використання у наукових дослідженнях (RUO).</w:t>
      </w:r>
    </w:p>
    <w:p w:rsidR="00F56175" w:rsidRDefault="00F56175" w:rsidP="00F56175">
      <w:pPr>
        <w:shd w:val="clear" w:color="auto" w:fill="FFFFFF"/>
        <w:ind w:firstLine="540"/>
        <w:jc w:val="both"/>
        <w:rPr>
          <w:rFonts w:ascii="Times New Roman" w:hAnsi="Times New Roman" w:cs="Times New Roman"/>
          <w:bCs/>
          <w:sz w:val="24"/>
          <w:szCs w:val="24"/>
        </w:rPr>
      </w:pPr>
      <w:r>
        <w:rPr>
          <w:rFonts w:ascii="Times New Roman" w:hAnsi="Times New Roman" w:cs="Times New Roman"/>
          <w:sz w:val="24"/>
          <w:szCs w:val="24"/>
        </w:rPr>
        <w:t xml:space="preserve">б) </w:t>
      </w:r>
      <w:r>
        <w:rPr>
          <w:rFonts w:ascii="Times New Roman" w:hAnsi="Times New Roman" w:cs="Times New Roman"/>
          <w:bCs/>
          <w:sz w:val="24"/>
          <w:szCs w:val="24"/>
        </w:rPr>
        <w:t>по</w:t>
      </w:r>
      <w:r w:rsidRPr="005518E5">
        <w:rPr>
          <w:rFonts w:ascii="Times New Roman" w:hAnsi="Times New Roman" w:cs="Times New Roman"/>
          <w:bCs/>
          <w:sz w:val="24"/>
          <w:szCs w:val="24"/>
        </w:rPr>
        <w:t xml:space="preserve"> </w:t>
      </w:r>
      <w:r w:rsidRPr="008B19F0">
        <w:rPr>
          <w:rFonts w:ascii="Times New Roman" w:hAnsi="Times New Roman" w:cs="Times New Roman"/>
          <w:bCs/>
          <w:sz w:val="24"/>
          <w:szCs w:val="24"/>
        </w:rPr>
        <w:t>кількісно</w:t>
      </w:r>
      <w:r>
        <w:rPr>
          <w:rFonts w:ascii="Times New Roman" w:hAnsi="Times New Roman" w:cs="Times New Roman"/>
          <w:bCs/>
          <w:sz w:val="24"/>
          <w:szCs w:val="24"/>
        </w:rPr>
        <w:t>му</w:t>
      </w:r>
      <w:r w:rsidRPr="008B19F0">
        <w:rPr>
          <w:rFonts w:ascii="Times New Roman" w:hAnsi="Times New Roman" w:cs="Times New Roman"/>
          <w:bCs/>
          <w:sz w:val="24"/>
          <w:szCs w:val="24"/>
        </w:rPr>
        <w:t xml:space="preserve"> визначенн</w:t>
      </w:r>
      <w:r>
        <w:rPr>
          <w:rFonts w:ascii="Times New Roman" w:hAnsi="Times New Roman" w:cs="Times New Roman"/>
          <w:bCs/>
          <w:sz w:val="24"/>
          <w:szCs w:val="24"/>
        </w:rPr>
        <w:t>ю</w:t>
      </w:r>
      <w:r w:rsidRPr="008B19F0">
        <w:rPr>
          <w:rFonts w:ascii="Times New Roman" w:hAnsi="Times New Roman" w:cs="Times New Roman"/>
          <w:bCs/>
          <w:sz w:val="24"/>
          <w:szCs w:val="24"/>
        </w:rPr>
        <w:t xml:space="preserve"> </w:t>
      </w:r>
      <w:r w:rsidRPr="005518E5">
        <w:rPr>
          <w:rFonts w:ascii="Times New Roman" w:hAnsi="Times New Roman" w:cs="Times New Roman"/>
          <w:bCs/>
          <w:sz w:val="24"/>
          <w:szCs w:val="24"/>
        </w:rPr>
        <w:t xml:space="preserve">рівня </w:t>
      </w:r>
      <w:proofErr w:type="spellStart"/>
      <w:r w:rsidRPr="00891775">
        <w:rPr>
          <w:rFonts w:ascii="Times New Roman" w:hAnsi="Times New Roman" w:cs="Times New Roman"/>
          <w:bCs/>
          <w:sz w:val="24"/>
          <w:szCs w:val="24"/>
        </w:rPr>
        <w:t>каспази</w:t>
      </w:r>
      <w:proofErr w:type="spellEnd"/>
      <w:r w:rsidRPr="00891775">
        <w:rPr>
          <w:rFonts w:ascii="Times New Roman" w:hAnsi="Times New Roman" w:cs="Times New Roman"/>
          <w:bCs/>
          <w:sz w:val="24"/>
          <w:szCs w:val="24"/>
        </w:rPr>
        <w:t xml:space="preserve"> 3 (CASP3) </w:t>
      </w:r>
      <w:r w:rsidRPr="005518E5">
        <w:rPr>
          <w:rFonts w:ascii="Times New Roman" w:hAnsi="Times New Roman" w:cs="Times New Roman"/>
          <w:bCs/>
          <w:sz w:val="24"/>
          <w:szCs w:val="24"/>
        </w:rPr>
        <w:t>у сироватці крові щурів</w:t>
      </w:r>
      <w:r>
        <w:rPr>
          <w:rFonts w:ascii="Times New Roman" w:hAnsi="Times New Roman" w:cs="Times New Roman"/>
          <w:bCs/>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 xml:space="preserve">Чутливість: </w:t>
      </w:r>
      <w:r w:rsidRPr="00891775">
        <w:rPr>
          <w:rFonts w:ascii="Times New Roman" w:hAnsi="Times New Roman" w:cs="Times New Roman"/>
          <w:sz w:val="24"/>
          <w:szCs w:val="24"/>
        </w:rPr>
        <w:t xml:space="preserve">не гірше (не вище) ніж 0,19 </w:t>
      </w:r>
      <w:proofErr w:type="spellStart"/>
      <w:r w:rsidRPr="00891775">
        <w:rPr>
          <w:rFonts w:ascii="Times New Roman" w:hAnsi="Times New Roman" w:cs="Times New Roman"/>
          <w:sz w:val="24"/>
          <w:szCs w:val="24"/>
        </w:rPr>
        <w:t>нг</w:t>
      </w:r>
      <w:proofErr w:type="spellEnd"/>
      <w:r w:rsidRPr="00891775">
        <w:rPr>
          <w:rFonts w:ascii="Times New Roman" w:hAnsi="Times New Roman" w:cs="Times New Roman"/>
          <w:sz w:val="24"/>
          <w:szCs w:val="24"/>
        </w:rPr>
        <w:t>/</w:t>
      </w:r>
      <w:proofErr w:type="spellStart"/>
      <w:r w:rsidRPr="00891775">
        <w:rPr>
          <w:rFonts w:ascii="Times New Roman" w:hAnsi="Times New Roman" w:cs="Times New Roman"/>
          <w:sz w:val="24"/>
          <w:szCs w:val="24"/>
        </w:rPr>
        <w:t>мл</w:t>
      </w:r>
      <w:proofErr w:type="spellEnd"/>
      <w:r>
        <w:rPr>
          <w:rFonts w:ascii="Times New Roman" w:hAnsi="Times New Roman" w:cs="Times New Roman"/>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 xml:space="preserve">Діапазон визначення: </w:t>
      </w:r>
      <w:r w:rsidRPr="00891775">
        <w:rPr>
          <w:rFonts w:ascii="Times New Roman" w:hAnsi="Times New Roman" w:cs="Times New Roman"/>
          <w:sz w:val="24"/>
          <w:szCs w:val="24"/>
        </w:rPr>
        <w:t xml:space="preserve">не гірше (не вужче) ніж 0,31-20 </w:t>
      </w:r>
      <w:proofErr w:type="spellStart"/>
      <w:r w:rsidRPr="00891775">
        <w:rPr>
          <w:rFonts w:ascii="Times New Roman" w:hAnsi="Times New Roman" w:cs="Times New Roman"/>
          <w:sz w:val="24"/>
          <w:szCs w:val="24"/>
        </w:rPr>
        <w:t>нг</w:t>
      </w:r>
      <w:proofErr w:type="spellEnd"/>
      <w:r w:rsidRPr="00891775">
        <w:rPr>
          <w:rFonts w:ascii="Times New Roman" w:hAnsi="Times New Roman" w:cs="Times New Roman"/>
          <w:sz w:val="24"/>
          <w:szCs w:val="24"/>
        </w:rPr>
        <w:t>/</w:t>
      </w:r>
      <w:proofErr w:type="spellStart"/>
      <w:r w:rsidRPr="00891775">
        <w:rPr>
          <w:rFonts w:ascii="Times New Roman" w:hAnsi="Times New Roman" w:cs="Times New Roman"/>
          <w:sz w:val="24"/>
          <w:szCs w:val="24"/>
        </w:rPr>
        <w:t>мл</w:t>
      </w:r>
      <w:proofErr w:type="spellEnd"/>
      <w:r>
        <w:rPr>
          <w:rFonts w:ascii="Times New Roman" w:hAnsi="Times New Roman" w:cs="Times New Roman"/>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Коефіцієнт варіації</w:t>
      </w:r>
      <w:r>
        <w:rPr>
          <w:rFonts w:ascii="Times New Roman" w:hAnsi="Times New Roman" w:cs="Times New Roman"/>
          <w:sz w:val="24"/>
          <w:szCs w:val="24"/>
        </w:rPr>
        <w:t>: не гірше (не більше) ніж 10%;</w:t>
      </w:r>
    </w:p>
    <w:p w:rsidR="00F5617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Набір передбачений для використання у наукових дослідженнях (RUO).</w:t>
      </w:r>
    </w:p>
    <w:p w:rsidR="00F56175" w:rsidRDefault="00F56175" w:rsidP="00F56175">
      <w:pPr>
        <w:shd w:val="clear" w:color="auto" w:fill="FFFFFF"/>
        <w:ind w:firstLine="540"/>
        <w:jc w:val="both"/>
        <w:rPr>
          <w:rFonts w:ascii="Times New Roman" w:hAnsi="Times New Roman" w:cs="Times New Roman"/>
          <w:bCs/>
          <w:sz w:val="24"/>
          <w:szCs w:val="24"/>
        </w:rPr>
      </w:pPr>
      <w:r>
        <w:rPr>
          <w:rFonts w:ascii="Times New Roman" w:hAnsi="Times New Roman" w:cs="Times New Roman"/>
          <w:sz w:val="24"/>
          <w:szCs w:val="24"/>
        </w:rPr>
        <w:t xml:space="preserve">в) </w:t>
      </w:r>
      <w:r>
        <w:rPr>
          <w:rFonts w:ascii="Times New Roman" w:hAnsi="Times New Roman" w:cs="Times New Roman"/>
          <w:bCs/>
          <w:sz w:val="24"/>
          <w:szCs w:val="24"/>
        </w:rPr>
        <w:t>по</w:t>
      </w:r>
      <w:r w:rsidRPr="005518E5">
        <w:rPr>
          <w:rFonts w:ascii="Times New Roman" w:hAnsi="Times New Roman" w:cs="Times New Roman"/>
          <w:bCs/>
          <w:sz w:val="24"/>
          <w:szCs w:val="24"/>
        </w:rPr>
        <w:t xml:space="preserve"> </w:t>
      </w:r>
      <w:r w:rsidRPr="008B19F0">
        <w:rPr>
          <w:rFonts w:ascii="Times New Roman" w:hAnsi="Times New Roman" w:cs="Times New Roman"/>
          <w:bCs/>
          <w:sz w:val="24"/>
          <w:szCs w:val="24"/>
        </w:rPr>
        <w:t>кількісно</w:t>
      </w:r>
      <w:r>
        <w:rPr>
          <w:rFonts w:ascii="Times New Roman" w:hAnsi="Times New Roman" w:cs="Times New Roman"/>
          <w:bCs/>
          <w:sz w:val="24"/>
          <w:szCs w:val="24"/>
        </w:rPr>
        <w:t>му</w:t>
      </w:r>
      <w:r w:rsidRPr="008B19F0">
        <w:rPr>
          <w:rFonts w:ascii="Times New Roman" w:hAnsi="Times New Roman" w:cs="Times New Roman"/>
          <w:bCs/>
          <w:sz w:val="24"/>
          <w:szCs w:val="24"/>
        </w:rPr>
        <w:t xml:space="preserve"> визначенн</w:t>
      </w:r>
      <w:r>
        <w:rPr>
          <w:rFonts w:ascii="Times New Roman" w:hAnsi="Times New Roman" w:cs="Times New Roman"/>
          <w:bCs/>
          <w:sz w:val="24"/>
          <w:szCs w:val="24"/>
        </w:rPr>
        <w:t>ю</w:t>
      </w:r>
      <w:r w:rsidRPr="008B19F0">
        <w:rPr>
          <w:rFonts w:ascii="Times New Roman" w:hAnsi="Times New Roman" w:cs="Times New Roman"/>
          <w:bCs/>
          <w:sz w:val="24"/>
          <w:szCs w:val="24"/>
        </w:rPr>
        <w:t xml:space="preserve"> </w:t>
      </w:r>
      <w:r w:rsidRPr="005518E5">
        <w:rPr>
          <w:rFonts w:ascii="Times New Roman" w:hAnsi="Times New Roman" w:cs="Times New Roman"/>
          <w:bCs/>
          <w:sz w:val="24"/>
          <w:szCs w:val="24"/>
        </w:rPr>
        <w:t xml:space="preserve">рівня </w:t>
      </w:r>
      <w:r w:rsidRPr="00891775">
        <w:rPr>
          <w:rFonts w:ascii="Times New Roman" w:hAnsi="Times New Roman" w:cs="Times New Roman"/>
          <w:bCs/>
          <w:sz w:val="24"/>
          <w:szCs w:val="24"/>
        </w:rPr>
        <w:t xml:space="preserve">легкого ланцюга </w:t>
      </w:r>
      <w:proofErr w:type="spellStart"/>
      <w:r w:rsidRPr="00891775">
        <w:rPr>
          <w:rFonts w:ascii="Times New Roman" w:hAnsi="Times New Roman" w:cs="Times New Roman"/>
          <w:bCs/>
          <w:sz w:val="24"/>
          <w:szCs w:val="24"/>
        </w:rPr>
        <w:t>нейрофіламенту</w:t>
      </w:r>
      <w:proofErr w:type="spellEnd"/>
      <w:r w:rsidRPr="00891775">
        <w:rPr>
          <w:rFonts w:ascii="Times New Roman" w:hAnsi="Times New Roman" w:cs="Times New Roman"/>
          <w:bCs/>
          <w:sz w:val="24"/>
          <w:szCs w:val="24"/>
        </w:rPr>
        <w:t xml:space="preserve"> (NEFL) </w:t>
      </w:r>
      <w:r w:rsidRPr="005518E5">
        <w:rPr>
          <w:rFonts w:ascii="Times New Roman" w:hAnsi="Times New Roman" w:cs="Times New Roman"/>
          <w:bCs/>
          <w:sz w:val="24"/>
          <w:szCs w:val="24"/>
        </w:rPr>
        <w:t>у сироватці крові щурів</w:t>
      </w:r>
      <w:r>
        <w:rPr>
          <w:rFonts w:ascii="Times New Roman" w:hAnsi="Times New Roman" w:cs="Times New Roman"/>
          <w:bCs/>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 xml:space="preserve">Чутливість: </w:t>
      </w:r>
      <w:r w:rsidRPr="00891775">
        <w:rPr>
          <w:rFonts w:ascii="Times New Roman" w:hAnsi="Times New Roman" w:cs="Times New Roman"/>
          <w:sz w:val="24"/>
          <w:szCs w:val="24"/>
        </w:rPr>
        <w:t xml:space="preserve">не гірше (не вище) ніж 9,38 </w:t>
      </w:r>
      <w:proofErr w:type="spellStart"/>
      <w:r w:rsidRPr="00891775">
        <w:rPr>
          <w:rFonts w:ascii="Times New Roman" w:hAnsi="Times New Roman" w:cs="Times New Roman"/>
          <w:sz w:val="24"/>
          <w:szCs w:val="24"/>
        </w:rPr>
        <w:t>пг</w:t>
      </w:r>
      <w:proofErr w:type="spellEnd"/>
      <w:r w:rsidRPr="00891775">
        <w:rPr>
          <w:rFonts w:ascii="Times New Roman" w:hAnsi="Times New Roman" w:cs="Times New Roman"/>
          <w:sz w:val="24"/>
          <w:szCs w:val="24"/>
        </w:rPr>
        <w:t>/</w:t>
      </w:r>
      <w:proofErr w:type="spellStart"/>
      <w:r w:rsidRPr="00891775">
        <w:rPr>
          <w:rFonts w:ascii="Times New Roman" w:hAnsi="Times New Roman" w:cs="Times New Roman"/>
          <w:sz w:val="24"/>
          <w:szCs w:val="24"/>
        </w:rPr>
        <w:t>мл</w:t>
      </w:r>
      <w:proofErr w:type="spellEnd"/>
      <w:r>
        <w:rPr>
          <w:rFonts w:ascii="Times New Roman" w:hAnsi="Times New Roman" w:cs="Times New Roman"/>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 xml:space="preserve">Діапазон визначення: </w:t>
      </w:r>
      <w:r w:rsidRPr="00891775">
        <w:rPr>
          <w:rFonts w:ascii="Times New Roman" w:hAnsi="Times New Roman" w:cs="Times New Roman"/>
          <w:sz w:val="24"/>
          <w:szCs w:val="24"/>
        </w:rPr>
        <w:t xml:space="preserve">не гірше (не вужче) ніж 15,63-1000 </w:t>
      </w:r>
      <w:proofErr w:type="spellStart"/>
      <w:r w:rsidRPr="00891775">
        <w:rPr>
          <w:rFonts w:ascii="Times New Roman" w:hAnsi="Times New Roman" w:cs="Times New Roman"/>
          <w:sz w:val="24"/>
          <w:szCs w:val="24"/>
        </w:rPr>
        <w:t>пг</w:t>
      </w:r>
      <w:proofErr w:type="spellEnd"/>
      <w:r w:rsidRPr="00891775">
        <w:rPr>
          <w:rFonts w:ascii="Times New Roman" w:hAnsi="Times New Roman" w:cs="Times New Roman"/>
          <w:sz w:val="24"/>
          <w:szCs w:val="24"/>
        </w:rPr>
        <w:t>/</w:t>
      </w:r>
      <w:proofErr w:type="spellStart"/>
      <w:r w:rsidRPr="00891775">
        <w:rPr>
          <w:rFonts w:ascii="Times New Roman" w:hAnsi="Times New Roman" w:cs="Times New Roman"/>
          <w:sz w:val="24"/>
          <w:szCs w:val="24"/>
        </w:rPr>
        <w:t>мл</w:t>
      </w:r>
      <w:proofErr w:type="spellEnd"/>
      <w:r>
        <w:rPr>
          <w:rFonts w:ascii="Times New Roman" w:hAnsi="Times New Roman" w:cs="Times New Roman"/>
          <w:sz w:val="24"/>
          <w:szCs w:val="24"/>
        </w:rPr>
        <w:t>;</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Коефіцієнт варіації: не г</w:t>
      </w:r>
      <w:r>
        <w:rPr>
          <w:rFonts w:ascii="Times New Roman" w:hAnsi="Times New Roman" w:cs="Times New Roman"/>
          <w:sz w:val="24"/>
          <w:szCs w:val="24"/>
        </w:rPr>
        <w:t>ірше (не більше) ніж 10%;</w:t>
      </w:r>
    </w:p>
    <w:p w:rsidR="00F56175" w:rsidRPr="007A62F5" w:rsidRDefault="00F56175" w:rsidP="00F56175">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62F5">
        <w:rPr>
          <w:rFonts w:ascii="Times New Roman" w:hAnsi="Times New Roman" w:cs="Times New Roman"/>
          <w:sz w:val="24"/>
          <w:szCs w:val="24"/>
        </w:rPr>
        <w:t>Набір передбачений для використання у наукових дослідженнях (RUO).</w:t>
      </w:r>
    </w:p>
    <w:p w:rsidR="00F56175" w:rsidRPr="00954127" w:rsidRDefault="00F56175" w:rsidP="00F56175">
      <w:pPr>
        <w:shd w:val="clear" w:color="auto" w:fill="FFFFFF"/>
        <w:ind w:firstLine="540"/>
        <w:jc w:val="both"/>
        <w:rPr>
          <w:rFonts w:ascii="Times New Roman" w:hAnsi="Times New Roman" w:cs="Times New Roman"/>
          <w:sz w:val="24"/>
          <w:szCs w:val="24"/>
        </w:rPr>
      </w:pPr>
    </w:p>
    <w:p w:rsidR="00F56175" w:rsidRPr="00474B9C" w:rsidRDefault="00F56175" w:rsidP="00F56175">
      <w:pPr>
        <w:widowControl w:val="0"/>
        <w:autoSpaceDE w:val="0"/>
        <w:autoSpaceDN w:val="0"/>
        <w:jc w:val="right"/>
        <w:rPr>
          <w:rFonts w:ascii="Times New Roman" w:eastAsia="Times New Roman" w:hAnsi="Times New Roman" w:cs="Times New Roman"/>
          <w:i/>
          <w:sz w:val="24"/>
          <w:szCs w:val="24"/>
        </w:rPr>
      </w:pPr>
    </w:p>
    <w:p w:rsidR="00F56175" w:rsidRPr="00474B9C" w:rsidRDefault="00F56175" w:rsidP="00F56175">
      <w:pPr>
        <w:rPr>
          <w:rFonts w:ascii="Times New Roman" w:hAnsi="Times New Roman" w:cs="Times New Roman"/>
          <w:b/>
          <w:sz w:val="24"/>
          <w:szCs w:val="24"/>
          <w:u w:val="single"/>
        </w:rPr>
      </w:pPr>
    </w:p>
    <w:p w:rsidR="00F56175" w:rsidRPr="00474B9C" w:rsidRDefault="00F56175" w:rsidP="00F56175">
      <w:pPr>
        <w:rPr>
          <w:rFonts w:ascii="Times New Roman" w:hAnsi="Times New Roman" w:cs="Times New Roman"/>
          <w:b/>
          <w:sz w:val="24"/>
          <w:szCs w:val="24"/>
          <w:u w:val="single"/>
        </w:rPr>
      </w:pPr>
    </w:p>
    <w:p w:rsidR="00F56175" w:rsidRPr="00474B9C" w:rsidRDefault="00F56175" w:rsidP="00F56175">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F56175" w:rsidRPr="00474B9C" w:rsidRDefault="00F56175" w:rsidP="00F56175">
      <w:pPr>
        <w:rPr>
          <w:rFonts w:ascii="Times New Roman" w:hAnsi="Times New Roman" w:cs="Times New Roman"/>
          <w:sz w:val="24"/>
          <w:szCs w:val="24"/>
        </w:rPr>
      </w:pP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175"/>
    <w:rsid w:val="00D325DA"/>
    <w:rsid w:val="00F5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75"/>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F56175"/>
    <w:rPr>
      <w:rFonts w:ascii="Arial" w:eastAsia="Arial" w:hAnsi="Arial" w:cs="Arial"/>
      <w:color w:val="000000"/>
    </w:rPr>
  </w:style>
  <w:style w:type="paragraph" w:customStyle="1" w:styleId="1">
    <w:name w:val="Обычный1"/>
    <w:link w:val="Normal"/>
    <w:qFormat/>
    <w:rsid w:val="00F56175"/>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0</DocSecurity>
  <Lines>34</Lines>
  <Paragraphs>9</Paragraphs>
  <ScaleCrop>false</ScaleCrop>
  <Company>Krokoz™</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2023-03-31T12:43:00Z</dcterms:created>
  <dcterms:modified xsi:type="dcterms:W3CDTF">2023-03-31T12:43:00Z</dcterms:modified>
</cp:coreProperties>
</file>