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12.04</w:t>
            </w:r>
            <w:r>
              <w:rPr>
                <w:rFonts w:eastAsia="Times New Roman" w:cs="Times New Roman" w:ascii="Times New Roman" w:hAnsi="Times New Roman"/>
                <w:color w:val="000000"/>
                <w:kern w:val="0"/>
                <w:sz w:val="24"/>
                <w:szCs w:val="24"/>
                <w:shd w:fill="auto" w:val="clear"/>
                <w:lang w:val="ru-RU" w:eastAsia="en-US" w:bidi="ar-SA"/>
              </w:rPr>
              <w:t>.2024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100</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r>
          </w:p>
          <w:p>
            <w:pPr>
              <w:pStyle w:val="Normal"/>
              <w:widowControl w:val="false"/>
              <w:spacing w:lineRule="auto" w:line="240" w:before="0" w:after="0"/>
              <w:jc w:val="center"/>
              <w:rPr/>
            </w:pPr>
            <w:r>
              <w:rPr>
                <w:rFonts w:eastAsia="Calibri" w:cs="Times New Roman" w:ascii="Times New Roman" w:hAnsi="Times New Roman" w:eastAsiaTheme="minorHAnsi"/>
                <w:b/>
                <w:bCs/>
                <w:i/>
                <w:iCs/>
                <w:color w:val="000000"/>
                <w:kern w:val="0"/>
                <w:sz w:val="56"/>
                <w:szCs w:val="56"/>
                <w:shd w:fill="auto" w:val="clear"/>
                <w:lang w:val="ru-RU" w:eastAsia="ar-SA" w:bidi="ar-SA"/>
              </w:rPr>
              <w:t>Кабелі силові та накінечники</w:t>
            </w:r>
          </w:p>
          <w:p>
            <w:pPr>
              <w:pStyle w:val="Normal"/>
              <w:widowControl w:val="false"/>
              <w:spacing w:lineRule="auto" w:line="240" w:before="0" w:after="0"/>
              <w:jc w:val="center"/>
              <w:rPr>
                <w:rFonts w:ascii="Times New Roman" w:hAnsi="Times New Roman" w:eastAsia="Calibri" w:cs="Times New Roman" w:eastAsiaTheme="minorHAnsi"/>
                <w:b/>
                <w:b/>
                <w:bCs/>
                <w:i/>
                <w:i/>
                <w:iCs/>
                <w:color w:val="000000"/>
                <w:kern w:val="0"/>
                <w:sz w:val="56"/>
                <w:szCs w:val="56"/>
                <w:shd w:fill="auto" w:val="clear"/>
                <w:lang w:val="ru-RU" w:eastAsia="ar-SA" w:bidi="ar-SA"/>
              </w:rPr>
            </w:pPr>
            <w:r>
              <w:rPr>
                <w:rFonts w:eastAsia="Calibri" w:cs="Times New Roman" w:eastAsiaTheme="minorHAnsi" w:ascii="Times New Roman" w:hAnsi="Times New Roman"/>
                <w:b/>
                <w:bCs/>
                <w:i/>
                <w:iCs/>
                <w:color w:val="000000"/>
                <w:kern w:val="0"/>
                <w:sz w:val="56"/>
                <w:szCs w:val="56"/>
                <w:shd w:fill="auto" w:val="clear"/>
                <w:lang w:val="ru-RU" w:eastAsia="ar-SA" w:bidi="ar-SA"/>
              </w:rPr>
            </w:r>
          </w:p>
          <w:p>
            <w:pPr>
              <w:pStyle w:val="Normal"/>
              <w:widowControl w:val="false"/>
              <w:spacing w:lineRule="auto" w:line="240" w:before="0" w:after="0"/>
              <w:jc w:val="center"/>
              <w:rPr>
                <w:i/>
                <w:i/>
                <w:sz w:val="64"/>
                <w:szCs w:val="64"/>
                <w:shd w:fill="auto" w:val="clear"/>
              </w:rPr>
            </w:pPr>
            <w:r>
              <w:rPr>
                <w:i/>
                <w:sz w:val="64"/>
                <w:szCs w:val="64"/>
                <w:shd w:fill="auto" w:val="clear"/>
              </w:rPr>
            </w:r>
          </w:p>
          <w:p>
            <w:pPr>
              <w:pStyle w:val="Normal"/>
              <w:widowControl w:val="false"/>
              <w:spacing w:lineRule="auto" w:line="240" w:before="0" w:after="0"/>
              <w:jc w:val="center"/>
              <w:rPr>
                <w:i/>
                <w:i/>
                <w:sz w:val="64"/>
                <w:szCs w:val="64"/>
                <w:shd w:fill="auto" w:val="clear"/>
              </w:rPr>
            </w:pPr>
            <w:r>
              <w:rPr>
                <w:rFonts w:eastAsia="Calibri" w:cs="Times New Roman" w:ascii="Times New Roman" w:hAnsi="Times New Roman" w:eastAsiaTheme="minorHAnsi"/>
                <w:b/>
                <w:bCs/>
                <w:i/>
                <w:iCs/>
                <w:color w:val="000000"/>
                <w:kern w:val="0"/>
                <w:sz w:val="28"/>
                <w:szCs w:val="28"/>
                <w:shd w:fill="auto" w:val="clear"/>
                <w:lang w:val="ru-RU" w:eastAsia="ar-SA" w:bidi="ar-SA"/>
              </w:rPr>
              <w:t>(Код ДК 021:2015- 44320000-9 Кабелі та супутня продукція)</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Кабелі силові та накінечники</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021:2015- 44320000-9 Кабелі та супутня продукція)</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val="ru-RU" w:eastAsia="uk-UA"/>
              </w:rPr>
              <w:t xml:space="preserve">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w:t>
            </w:r>
            <w:r>
              <w:rPr>
                <w:rFonts w:eastAsia="Times New Roman" w:cs="Times New Roman" w:ascii="Times New Roman" w:hAnsi="Times New Roman"/>
                <w:color w:val="auto"/>
                <w:kern w:val="0"/>
                <w:sz w:val="24"/>
                <w:szCs w:val="24"/>
                <w:lang w:val="ru-RU" w:eastAsia="uk-UA" w:bidi="ar-SA"/>
              </w:rPr>
              <w:t>6</w:t>
            </w:r>
            <w:r>
              <w:rPr>
                <w:rFonts w:eastAsia="Times New Roman" w:cs="Times New Roman" w:ascii="Times New Roman" w:hAnsi="Times New Roman"/>
                <w:color w:val="auto"/>
                <w:kern w:val="0"/>
                <w:sz w:val="24"/>
                <w:szCs w:val="24"/>
                <w:lang w:val="ru-RU" w:eastAsia="uk-UA" w:bidi="ar-SA"/>
              </w:rPr>
              <w:t>.2024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 xml:space="preserve">товар, або чинного документу який діє на території </w:t>
            </w:r>
            <w:r>
              <w:rPr>
                <w:rFonts w:eastAsia="Calibri" w:cs="Times New Roman" w:ascii="Times New Roman" w:hAnsi="Times New Roman" w:eastAsiaTheme="minorHAnsi"/>
                <w:color w:val="auto"/>
                <w:kern w:val="0"/>
                <w:sz w:val="24"/>
                <w:szCs w:val="24"/>
                <w:lang w:val="ru-RU" w:eastAsia="ru-RU" w:bidi="ar-SA"/>
              </w:rPr>
              <w:t>У</w:t>
            </w:r>
            <w:r>
              <w:rPr>
                <w:rFonts w:eastAsia="Calibri" w:ascii="Times New Roman" w:hAnsi="Times New Roman"/>
                <w:sz w:val="24"/>
                <w:szCs w:val="24"/>
                <w:lang w:val="ru-RU" w:eastAsia="ru-RU"/>
              </w:rPr>
              <w:t>країни на момент проведення закупівлі</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видаткової накладної</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20</w:t>
            </w:r>
            <w:r>
              <w:rPr>
                <w:rFonts w:eastAsia="Times New Roman" w:cs="Times New Roman" w:ascii="Times New Roman" w:hAnsi="Times New Roman"/>
                <w:b/>
                <w:bCs/>
                <w:color w:val="auto"/>
                <w:kern w:val="0"/>
                <w:sz w:val="24"/>
                <w:szCs w:val="24"/>
                <w:lang w:val="ru-RU" w:eastAsia="uk-UA" w:bidi="ar-SA"/>
              </w:rPr>
              <w:t>.04.2024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b/>
          <w:bCs/>
          <w:i w:val="false"/>
          <w:i w:val="false"/>
          <w:iCs w:val="false"/>
        </w:rPr>
      </w:pPr>
      <w:r>
        <w:rPr>
          <w:rFonts w:ascii="Times New Roman" w:hAnsi="Times New Roman"/>
          <w:b/>
          <w:bCs/>
          <w:i w:val="false"/>
          <w:iCs w:val="false"/>
          <w:sz w:val="24"/>
          <w:szCs w:val="24"/>
          <w:shd w:fill="auto" w:val="clear"/>
        </w:rPr>
        <w:t>1.</w:t>
      </w:r>
      <w:r>
        <w:rPr>
          <w:rFonts w:eastAsia="Calibri" w:cs="Times New Roman" w:ascii="Times New Roman" w:hAnsi="Times New Roman" w:eastAsiaTheme="minorHAnsi"/>
          <w:b/>
          <w:bCs/>
          <w:i w:val="false"/>
          <w:iCs w:val="false"/>
          <w:color w:val="000000"/>
          <w:kern w:val="0"/>
          <w:sz w:val="24"/>
          <w:szCs w:val="24"/>
          <w:shd w:fill="auto" w:val="clear"/>
          <w:lang w:val="ru-RU" w:eastAsia="en-US" w:bidi="ar-SA"/>
        </w:rPr>
        <w:t>6</w:t>
      </w:r>
      <w:r>
        <w:rPr>
          <w:rFonts w:ascii="Times New Roman" w:hAnsi="Times New Roman"/>
          <w:b/>
          <w:bCs/>
          <w:i w:val="false"/>
          <w:i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i w:val="false"/>
          <w:i w:val="false"/>
          <w:iCs w:val="false"/>
          <w:u w:val="none"/>
        </w:rPr>
      </w:pPr>
      <w:r>
        <w:rPr>
          <w:rFonts w:cs="Times New Roman CYR" w:ascii="Times New Roman" w:hAnsi="Times New Roman"/>
          <w:b w:val="false"/>
          <w:bCs w:val="false"/>
          <w:i w:val="false"/>
          <w:iCs w:val="false"/>
          <w:sz w:val="24"/>
          <w:szCs w:val="24"/>
          <w:u w:val="none"/>
          <w:shd w:fill="auto" w:val="clear"/>
          <w:lang w:eastAsia="zh-CN"/>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i w:val="false"/>
          <w:i w:val="false"/>
          <w:iCs w:val="false"/>
          <w:sz w:val="24"/>
          <w:szCs w:val="24"/>
          <w:u w:val="none"/>
          <w:shd w:fill="auto" w:val="clear"/>
        </w:rPr>
      </w:pPr>
      <w:r>
        <w:rPr>
          <w:rFonts w:ascii="Times New Roman" w:hAnsi="Times New Roman"/>
          <w:b/>
          <w:i w:val="false"/>
          <w:iCs w:val="false"/>
          <w:sz w:val="24"/>
          <w:szCs w:val="24"/>
          <w:u w:val="none"/>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w:t>
      </w:r>
      <w:r>
        <w:rPr>
          <w:rFonts w:eastAsia="Calibri" w:ascii="Times New Roman" w:hAnsi="Times New Roman"/>
          <w:b/>
          <w:bCs/>
          <w:i/>
          <w:iCs/>
          <w:sz w:val="24"/>
          <w:szCs w:val="24"/>
          <w:u w:val="none"/>
          <w:lang w:val="ru-RU"/>
        </w:rPr>
        <w:t>Кабелі силові та накінечники (Код ДК 021:2015- 44320000-9 Кабелі та супутня продукція)</w:t>
      </w:r>
      <w:r>
        <w:rPr>
          <w:rFonts w:eastAsia="Calibri"/>
          <w:b/>
          <w:bCs/>
        </w:rPr>
        <w:t>,</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
    </w:p>
    <w:tbl>
      <w:tblPr>
        <w:tblW w:w="4850" w:type="pct"/>
        <w:jc w:val="left"/>
        <w:tblInd w:w="-5" w:type="dxa"/>
        <w:tblLayout w:type="fixed"/>
        <w:tblCellMar>
          <w:top w:w="0" w:type="dxa"/>
          <w:left w:w="108" w:type="dxa"/>
          <w:bottom w:w="0" w:type="dxa"/>
          <w:right w:w="108" w:type="dxa"/>
        </w:tblCellMar>
      </w:tblPr>
      <w:tblGrid>
        <w:gridCol w:w="499"/>
        <w:gridCol w:w="4254"/>
        <w:gridCol w:w="1007"/>
        <w:gridCol w:w="1422"/>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Найменування товарів</w:t>
            </w:r>
          </w:p>
          <w:p>
            <w:pPr>
              <w:pStyle w:val="Normal"/>
              <w:widowControl w:val="false"/>
              <w:spacing w:before="0" w:after="200"/>
              <w:jc w:val="center"/>
              <w:rPr>
                <w:b w:val="false"/>
                <w:b w:val="false"/>
                <w:bCs w:val="false"/>
                <w:i/>
                <w:i/>
                <w:iCs/>
              </w:rPr>
            </w:pPr>
            <w:r>
              <w:rPr>
                <w:rFonts w:cs="Times New Roman" w:ascii="Times New Roman" w:hAnsi="Times New Roman"/>
                <w:b w:val="false"/>
                <w:bCs w:val="false"/>
                <w:i/>
                <w:iCs/>
                <w:lang w:val="ru-RU"/>
              </w:rPr>
              <w:t>(</w:t>
            </w:r>
            <w:r>
              <w:rPr>
                <w:rFonts w:cs="Times New Roman" w:ascii="Times New Roman" w:hAnsi="Times New Roman"/>
                <w:b w:val="false"/>
                <w:bCs w:val="false"/>
                <w:i/>
                <w:iCs/>
              </w:rPr>
              <w:t>Торгова назва предмету закупівлі згідно з документами виробника, країна-виробник</w:t>
            </w:r>
            <w:r>
              <w:rPr>
                <w:rFonts w:cs="Times New Roman" w:ascii="Times New Roman" w:hAnsi="Times New Roman"/>
                <w:b w:val="false"/>
                <w:bCs w:val="false"/>
                <w:i/>
                <w:iCs/>
                <w:lang w:val="ru-RU"/>
              </w:rPr>
              <w:t>)</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один. з ПДВ,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з ПДВ,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80" w:hRule="atLeast"/>
        </w:trPr>
        <w:tc>
          <w:tcPr>
            <w:tcW w:w="499"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ru-RU"/>
              </w:rPr>
            </w:pPr>
            <w:r>
              <w:rPr>
                <w:rFonts w:cs="Times New Roman" w:ascii="Times New Roman" w:hAnsi="Times New Roman"/>
                <w:lang w:val="ru-RU"/>
              </w:rPr>
              <w:t>2</w:t>
            </w:r>
          </w:p>
        </w:tc>
        <w:tc>
          <w:tcPr>
            <w:tcW w:w="4254"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0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42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bl>
    <w:p>
      <w:pPr>
        <w:pStyle w:val="Normal"/>
        <w:rPr/>
      </w:pPr>
      <w:r>
        <w:rPr/>
      </w:r>
    </w:p>
    <w:p>
      <w:pPr>
        <w:pStyle w:val="Normal"/>
        <w:widowControl w:val="false"/>
        <w:numPr>
          <w:ilvl w:val="0"/>
          <w:numId w:val="1"/>
        </w:numPr>
        <w:tabs>
          <w:tab w:val="clear" w:pos="720"/>
          <w:tab w:val="left" w:pos="-540" w:leader="none"/>
        </w:tabs>
        <w:spacing w:lineRule="exact" w:line="274" w:before="0" w:after="0"/>
        <w:ind w:left="-142" w:firstLine="142"/>
        <w:jc w:val="both"/>
        <w:rPr/>
      </w:pPr>
      <w:r>
        <w:rPr>
          <w:rStyle w:val="22"/>
          <w:shd w:fill="auto" w:val="clear"/>
        </w:rPr>
        <w:t xml:space="preserve">Ми погоджуємося дотримуватися умов тендерної пропозиції </w:t>
      </w:r>
      <w:r>
        <w:rPr>
          <w:rStyle w:val="22"/>
          <w:rFonts w:eastAsia="Calibri" w:cs="Times New Roman" w:ascii="Times New Roman" w:hAnsi="Times New Roman"/>
          <w:color w:val="000000"/>
          <w:spacing w:val="0"/>
          <w:w w:val="100"/>
          <w:kern w:val="0"/>
          <w:sz w:val="24"/>
          <w:szCs w:val="24"/>
          <w:u w:val="none"/>
          <w:shd w:fill="auto" w:val="clear"/>
          <w:lang w:val="uk-UA" w:eastAsia="uk-UA" w:bidi="ar-SA"/>
        </w:rPr>
        <w:t>не менше</w:t>
      </w:r>
      <w:r>
        <w:rPr>
          <w:rStyle w:val="22"/>
          <w:rFonts w:eastAsia="Calibri" w:cs="Times New Roman" w:ascii="Times New Roman" w:hAnsi="Times New Roman"/>
          <w:color w:val="000000"/>
          <w:spacing w:val="0"/>
          <w:w w:val="100"/>
          <w:kern w:val="0"/>
          <w:sz w:val="24"/>
          <w:szCs w:val="24"/>
          <w:u w:val="none"/>
          <w:shd w:fill="auto" w:val="clear"/>
          <w:lang w:val="ru-RU" w:eastAsia="uk-UA" w:bidi="ar-SA"/>
        </w:rPr>
        <w:t xml:space="preserve"> 90</w:t>
      </w:r>
      <w:r>
        <w:rPr>
          <w:rStyle w:val="22"/>
          <w:shd w:fill="auto" w:val="clear"/>
          <w:lang w:val="ru-RU"/>
        </w:rPr>
        <w:t xml:space="preserve"> </w:t>
      </w:r>
      <w:r>
        <w:rPr>
          <w:rStyle w:val="22"/>
          <w:shd w:fill="auto" w:val="clear"/>
        </w:rPr>
        <w:t>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Pr>
          <w:rFonts w:ascii="Times New Roman" w:hAnsi="Times New Roman"/>
          <w:sz w:val="24"/>
          <w:szCs w:val="24"/>
          <w:shd w:fill="auto" w:val="clear"/>
          <w:lang w:eastAsia="ar-SA"/>
        </w:rPr>
        <w:t xml:space="preserve"> </w:t>
      </w:r>
    </w:p>
    <w:p>
      <w:pPr>
        <w:pStyle w:val="Normal"/>
        <w:widowControl w:val="false"/>
        <w:numPr>
          <w:ilvl w:val="0"/>
          <w:numId w:val="1"/>
        </w:numPr>
        <w:tabs>
          <w:tab w:val="clear" w:pos="720"/>
          <w:tab w:val="left" w:pos="-540" w:leader="none"/>
        </w:tabs>
        <w:spacing w:lineRule="exact" w:line="274" w:before="0" w:after="0"/>
        <w:ind w:left="0" w:hanging="0"/>
        <w:jc w:val="both"/>
        <w:rPr/>
      </w:pPr>
      <w:r>
        <w:rPr>
          <w:rStyle w:val="22"/>
          <w:shd w:fill="auto" w:val="clear"/>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b/>
          <w:sz w:val="24"/>
          <w:szCs w:val="24"/>
          <w:shd w:fill="auto" w:val="clear"/>
          <w:lang w:eastAsia="ar-SA"/>
        </w:rPr>
        <w:t xml:space="preserve">Строк постачання товару: до </w:t>
      </w:r>
      <w:r>
        <w:rPr>
          <w:rFonts w:eastAsia="Calibri" w:cs="Times New Roman" w:ascii="Times New Roman" w:hAnsi="Times New Roman" w:eastAsiaTheme="minorHAnsi"/>
          <w:b/>
          <w:color w:val="000000"/>
          <w:kern w:val="0"/>
          <w:sz w:val="24"/>
          <w:szCs w:val="24"/>
          <w:shd w:fill="auto" w:val="clear"/>
          <w:lang w:val="ru-RU" w:eastAsia="ar-SA" w:bidi="ar-SA"/>
        </w:rPr>
        <w:t>30.0</w:t>
      </w:r>
      <w:r>
        <w:rPr>
          <w:rFonts w:eastAsia="Calibri" w:cs="Times New Roman" w:ascii="Times New Roman" w:hAnsi="Times New Roman" w:eastAsiaTheme="minorHAnsi"/>
          <w:b/>
          <w:color w:val="000000"/>
          <w:kern w:val="0"/>
          <w:sz w:val="24"/>
          <w:szCs w:val="24"/>
          <w:shd w:fill="auto" w:val="clear"/>
          <w:lang w:val="ru-RU" w:eastAsia="ar-SA" w:bidi="ar-SA"/>
        </w:rPr>
        <w:t>6</w:t>
      </w:r>
      <w:r>
        <w:rPr>
          <w:rFonts w:eastAsia="Calibri" w:cs="Times New Roman" w:ascii="Times New Roman" w:hAnsi="Times New Roman" w:eastAsiaTheme="minorHAnsi"/>
          <w:b/>
          <w:color w:val="000000"/>
          <w:kern w:val="0"/>
          <w:sz w:val="24"/>
          <w:szCs w:val="24"/>
          <w:shd w:fill="auto" w:val="clear"/>
          <w:lang w:val="ru-RU" w:eastAsia="ar-SA" w:bidi="ar-SA"/>
        </w:rPr>
        <w:t>.2024</w:t>
      </w:r>
      <w:r>
        <w:rPr>
          <w:rFonts w:ascii="Times New Roman" w:hAnsi="Times New Roman"/>
          <w:b/>
          <w:sz w:val="24"/>
          <w:szCs w:val="24"/>
          <w:shd w:fill="auto" w:val="clear"/>
          <w:lang w:eastAsia="ar-SA"/>
        </w:rPr>
        <w:t xml:space="preserve"> р.</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pPr>
        <w:pStyle w:val="Normal"/>
        <w:widowControl w:val="false"/>
        <w:numPr>
          <w:ilvl w:val="0"/>
          <w:numId w:val="1"/>
        </w:numPr>
        <w:tabs>
          <w:tab w:val="clear" w:pos="720"/>
          <w:tab w:val="left" w:pos="-720" w:leader="none"/>
        </w:tabs>
        <w:spacing w:lineRule="exact" w:line="274" w:before="0" w:after="0"/>
        <w:ind w:left="0" w:hanging="0"/>
        <w:jc w:val="both"/>
        <w:rPr/>
      </w:pPr>
      <w:r>
        <w:rPr>
          <w:rStyle w:val="22"/>
          <w:shd w:fill="auto" w:val="clear"/>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Кабелі силові та накінечники</w:t>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(Код ДК 021:2015- 44320000-9 Кабелі та супутня продукція)</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ВВГнгд не поширює горіння при одиночній і при пучковій прокладці. Струмопровідні жили мідні, ізоляція подвійна. Широкий діапазон температур експлуатації. Для нерухомого підключення до мережі. Форма кабелю – кругла.</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Технічні характеристики кабелю ВВГ нг-нд загальні:</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Матеріал жили: мідь</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Оболонка: ПВХ</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Ізоляція: ПВХ</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Температура експлуатації: від -50 °С до +50 °С</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Стійкість до горіння: не поширює горіння при одиночній і при пучковій прокладці</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Термін служби: 30 років</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567"/>
        <w:jc w:val="both"/>
        <w:rPr>
          <w:shd w:fill="auto" w:val="clear"/>
        </w:rPr>
      </w:pPr>
      <w:r>
        <w:rPr>
          <w:rFonts w:ascii="Times New Roman" w:hAnsi="Times New Roman"/>
          <w:sz w:val="24"/>
          <w:szCs w:val="24"/>
          <w:shd w:fill="auto" w:val="clear"/>
        </w:rPr>
        <w:t>Накінечники мідн</w:t>
      </w:r>
      <w:r>
        <w:rPr>
          <w:rFonts w:eastAsia="Calibri" w:cs="Times New Roman" w:ascii="Times New Roman" w:hAnsi="Times New Roman" w:eastAsiaTheme="minorHAnsi"/>
          <w:color w:val="000000"/>
          <w:kern w:val="0"/>
          <w:sz w:val="24"/>
          <w:szCs w:val="24"/>
          <w:shd w:fill="auto" w:val="clear"/>
          <w:lang w:val="uk-UA" w:eastAsia="en-US" w:bidi="ar-SA"/>
        </w:rPr>
        <w:t>і</w:t>
      </w:r>
      <w:r>
        <w:rPr>
          <w:rFonts w:ascii="Times New Roman" w:hAnsi="Times New Roman"/>
          <w:strike/>
          <w:sz w:val="24"/>
          <w:szCs w:val="24"/>
          <w:shd w:fill="auto" w:val="clear"/>
        </w:rPr>
        <w:t xml:space="preserve"> </w:t>
      </w:r>
      <w:r>
        <w:rPr>
          <w:rFonts w:ascii="Times New Roman" w:hAnsi="Times New Roman"/>
          <w:sz w:val="24"/>
          <w:szCs w:val="24"/>
          <w:shd w:fill="auto" w:val="clear"/>
        </w:rPr>
        <w:t>кабельн</w:t>
      </w:r>
      <w:r>
        <w:rPr>
          <w:rFonts w:eastAsia="Calibri" w:cs="Times New Roman" w:ascii="Times New Roman" w:hAnsi="Times New Roman" w:eastAsiaTheme="minorHAnsi"/>
          <w:color w:val="000000"/>
          <w:kern w:val="0"/>
          <w:sz w:val="24"/>
          <w:szCs w:val="24"/>
          <w:shd w:fill="auto" w:val="clear"/>
          <w:lang w:val="uk-UA" w:eastAsia="en-US" w:bidi="ar-SA"/>
        </w:rPr>
        <w:t>і</w:t>
      </w:r>
      <w:r>
        <w:rPr>
          <w:rFonts w:ascii="Times New Roman" w:hAnsi="Times New Roman"/>
          <w:sz w:val="24"/>
          <w:szCs w:val="24"/>
          <w:shd w:fill="auto" w:val="clear"/>
        </w:rPr>
        <w:t xml:space="preserve"> під опресування</w:t>
      </w:r>
    </w:p>
    <w:p>
      <w:pPr>
        <w:pStyle w:val="Normal"/>
        <w:spacing w:lineRule="atLeast" w:line="0" w:before="0" w:after="0"/>
        <w:ind w:firstLine="567"/>
        <w:jc w:val="both"/>
        <w:rPr>
          <w:rFonts w:ascii="Times New Roman" w:hAnsi="Times New Roman"/>
          <w:sz w:val="24"/>
          <w:szCs w:val="24"/>
        </w:rPr>
      </w:pPr>
      <w:r>
        <w:rPr>
          <w:rFonts w:ascii="Times New Roman" w:hAnsi="Times New Roman"/>
          <w:sz w:val="24"/>
          <w:szCs w:val="24"/>
        </w:rPr>
        <w:t xml:space="preserve">Діаметр отвору під гвинт, мм </w:t>
      </w:r>
      <w:r>
        <w:rPr>
          <w:rFonts w:eastAsia="Calibri" w:cs="Times New Roman" w:ascii="Times New Roman" w:hAnsi="Times New Roman" w:eastAsiaTheme="minorHAnsi"/>
          <w:color w:val="auto"/>
          <w:kern w:val="0"/>
          <w:sz w:val="24"/>
          <w:szCs w:val="24"/>
          <w:lang w:val="ru-RU" w:eastAsia="en-US" w:bidi="ar-SA"/>
        </w:rPr>
        <w:t>12</w:t>
      </w:r>
      <w:r>
        <w:rPr>
          <w:rFonts w:ascii="Times New Roman" w:hAnsi="Times New Roman"/>
          <w:sz w:val="24"/>
          <w:szCs w:val="24"/>
          <w:lang w:val="ru-RU"/>
        </w:rPr>
        <w:t xml:space="preserve"> мм, у відповідності до розміру кабелю</w:t>
      </w:r>
    </w:p>
    <w:p>
      <w:pPr>
        <w:pStyle w:val="Normal"/>
        <w:spacing w:lineRule="atLeast" w:line="0" w:before="0" w:after="0"/>
        <w:ind w:firstLine="567"/>
        <w:jc w:val="both"/>
        <w:rPr>
          <w:lang w:val="ru-RU"/>
        </w:rPr>
      </w:pPr>
      <w:r>
        <w:rPr>
          <w:lang w:val="ru-RU"/>
        </w:rPr>
      </w:r>
    </w:p>
    <w:tbl>
      <w:tblPr>
        <w:tblW w:w="9900" w:type="dxa"/>
        <w:jc w:val="left"/>
        <w:tblInd w:w="-31" w:type="dxa"/>
        <w:tblLayout w:type="fixed"/>
        <w:tblCellMar>
          <w:top w:w="0" w:type="dxa"/>
          <w:left w:w="29" w:type="dxa"/>
          <w:bottom w:w="0" w:type="dxa"/>
          <w:right w:w="29" w:type="dxa"/>
        </w:tblCellMar>
      </w:tblPr>
      <w:tblGrid>
        <w:gridCol w:w="594"/>
        <w:gridCol w:w="5526"/>
        <w:gridCol w:w="1892"/>
        <w:gridCol w:w="1887"/>
      </w:tblGrid>
      <w:tr>
        <w:trPr>
          <w:trHeight w:val="276" w:hRule="atLeast"/>
        </w:trPr>
        <w:tc>
          <w:tcPr>
            <w:tcW w:w="594" w:type="dxa"/>
            <w:tcBorders>
              <w:top w:val="single" w:sz="2" w:space="0" w:color="000000"/>
              <w:left w:val="single" w:sz="2" w:space="0" w:color="000000"/>
              <w:bottom w:val="single" w:sz="2" w:space="0" w:color="000000"/>
            </w:tcBorders>
            <w:vAlign w:val="bottom"/>
          </w:tcPr>
          <w:p>
            <w:pPr>
              <w:pStyle w:val="Normal"/>
              <w:widowControl w:val="false"/>
              <w:tabs>
                <w:tab w:val="clear" w:pos="720"/>
              </w:tabs>
              <w:spacing w:before="0" w:after="20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5526" w:type="dxa"/>
            <w:tcBorders>
              <w:top w:val="single" w:sz="2" w:space="0" w:color="000000"/>
              <w:left w:val="single" w:sz="2" w:space="0" w:color="000000"/>
              <w:bottom w:val="single" w:sz="2" w:space="0" w:color="000000"/>
            </w:tcBorders>
            <w:vAlign w:val="bottom"/>
          </w:tcPr>
          <w:p>
            <w:pPr>
              <w:pStyle w:val="Normal"/>
              <w:widowControl w:val="false"/>
              <w:tabs>
                <w:tab w:val="clear" w:pos="720"/>
              </w:tabs>
              <w:spacing w:before="0" w:after="200"/>
              <w:jc w:val="left"/>
              <w:rPr>
                <w:rFonts w:ascii="Times New Roman" w:hAnsi="Times New Roman"/>
                <w:sz w:val="24"/>
                <w:szCs w:val="24"/>
              </w:rPr>
            </w:pPr>
            <w:r>
              <w:rPr>
                <w:rFonts w:ascii="Times New Roman" w:hAnsi="Times New Roman"/>
                <w:sz w:val="24"/>
                <w:szCs w:val="24"/>
              </w:rPr>
              <w:t>Найменування</w:t>
            </w:r>
          </w:p>
        </w:tc>
        <w:tc>
          <w:tcPr>
            <w:tcW w:w="1892" w:type="dxa"/>
            <w:tcBorders>
              <w:top w:val="single" w:sz="2" w:space="0" w:color="000000"/>
              <w:left w:val="single" w:sz="2" w:space="0" w:color="000000"/>
              <w:bottom w:val="single" w:sz="2" w:space="0" w:color="000000"/>
            </w:tcBorders>
            <w:vAlign w:val="bottom"/>
          </w:tcPr>
          <w:p>
            <w:pPr>
              <w:pStyle w:val="Normal"/>
              <w:widowControl w:val="false"/>
              <w:tabs>
                <w:tab w:val="clear" w:pos="720"/>
              </w:tabs>
              <w:spacing w:before="0" w:after="200"/>
              <w:jc w:val="center"/>
              <w:rPr/>
            </w:pPr>
            <w:r>
              <w:rPr>
                <w:rFonts w:ascii="Times New Roman" w:hAnsi="Times New Roman"/>
                <w:sz w:val="24"/>
                <w:szCs w:val="24"/>
              </w:rPr>
              <w:t>Одиниці вим</w:t>
            </w:r>
            <w:r>
              <w:rPr>
                <w:rFonts w:eastAsia="Calibri" w:cs="Times New Roman" w:ascii="Times New Roman" w:hAnsi="Times New Roman" w:eastAsiaTheme="minorHAnsi"/>
                <w:color w:val="auto"/>
                <w:kern w:val="0"/>
                <w:sz w:val="24"/>
                <w:szCs w:val="24"/>
                <w:lang w:val="uk-UA" w:eastAsia="en-US" w:bidi="ar-SA"/>
              </w:rPr>
              <w:t>і</w:t>
            </w:r>
            <w:r>
              <w:rPr>
                <w:rFonts w:ascii="Times New Roman" w:hAnsi="Times New Roman"/>
                <w:sz w:val="24"/>
                <w:szCs w:val="24"/>
              </w:rPr>
              <w:t>ру</w:t>
            </w:r>
          </w:p>
        </w:tc>
        <w:tc>
          <w:tcPr>
            <w:tcW w:w="1887"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tabs>
                <w:tab w:val="clear" w:pos="720"/>
              </w:tabs>
              <w:spacing w:before="0" w:after="200"/>
              <w:jc w:val="center"/>
              <w:rPr>
                <w:rFonts w:ascii="Times New Roman" w:hAnsi="Times New Roman"/>
                <w:sz w:val="24"/>
                <w:szCs w:val="24"/>
              </w:rPr>
            </w:pPr>
            <w:r>
              <w:rPr>
                <w:rFonts w:ascii="Times New Roman" w:hAnsi="Times New Roman"/>
                <w:sz w:val="24"/>
                <w:szCs w:val="24"/>
              </w:rPr>
              <w:t>Кількість</w:t>
            </w:r>
          </w:p>
        </w:tc>
      </w:tr>
      <w:tr>
        <w:trPr>
          <w:trHeight w:val="276" w:hRule="atLeast"/>
        </w:trPr>
        <w:tc>
          <w:tcPr>
            <w:tcW w:w="594" w:type="dxa"/>
            <w:tcBorders>
              <w:left w:val="single" w:sz="2" w:space="0" w:color="000000"/>
              <w:bottom w:val="single" w:sz="2" w:space="0" w:color="000000"/>
            </w:tcBorders>
            <w:vAlign w:val="bottom"/>
          </w:tcPr>
          <w:p>
            <w:pPr>
              <w:pStyle w:val="Normal"/>
              <w:widowControl w:val="false"/>
              <w:numPr>
                <w:ilvl w:val="0"/>
                <w:numId w:val="2"/>
              </w:numPr>
              <w:tabs>
                <w:tab w:val="clear" w:pos="720"/>
              </w:tabs>
              <w:suppressAutoHyphens w:val="true"/>
              <w:bidi w:val="0"/>
              <w:spacing w:lineRule="auto" w:line="276" w:before="0" w:after="200"/>
              <w:jc w:val="right"/>
              <w:rPr>
                <w:rFonts w:ascii="Times New Roman" w:hAnsi="Times New Roman"/>
                <w:sz w:val="24"/>
                <w:szCs w:val="24"/>
                <w:lang w:val="ru-RU"/>
              </w:rPr>
            </w:pPr>
            <w:r>
              <w:rPr>
                <w:rFonts w:ascii="Times New Roman" w:hAnsi="Times New Roman"/>
                <w:sz w:val="24"/>
                <w:szCs w:val="24"/>
                <w:lang w:val="ru-RU"/>
              </w:rPr>
              <w:t>1</w:t>
            </w:r>
          </w:p>
        </w:tc>
        <w:tc>
          <w:tcPr>
            <w:tcW w:w="5526" w:type="dxa"/>
            <w:tcBorders>
              <w:left w:val="single" w:sz="2" w:space="0" w:color="000000"/>
              <w:bottom w:val="single" w:sz="2" w:space="0" w:color="000000"/>
            </w:tcBorders>
            <w:vAlign w:val="bottom"/>
          </w:tcPr>
          <w:p>
            <w:pPr>
              <w:pStyle w:val="Normal"/>
              <w:widowControl w:val="false"/>
              <w:tabs>
                <w:tab w:val="clear" w:pos="720"/>
              </w:tabs>
              <w:spacing w:before="0" w:after="200"/>
              <w:jc w:val="left"/>
              <w:rPr>
                <w:sz w:val="24"/>
                <w:szCs w:val="24"/>
              </w:rPr>
            </w:pPr>
            <w:r>
              <w:rPr>
                <w:rFonts w:ascii="Times New Roman" w:hAnsi="Times New Roman"/>
                <w:sz w:val="24"/>
                <w:szCs w:val="24"/>
              </w:rPr>
              <w:t>Кабель ВВГнгд 4*</w:t>
            </w:r>
            <w:r>
              <w:rPr>
                <w:rFonts w:eastAsia="Calibri" w:cs="Times New Roman" w:ascii="Times New Roman" w:hAnsi="Times New Roman" w:eastAsiaTheme="minorHAnsi"/>
                <w:color w:val="auto"/>
                <w:kern w:val="0"/>
                <w:sz w:val="24"/>
                <w:szCs w:val="24"/>
                <w:lang w:val="ru-RU" w:eastAsia="en-US" w:bidi="ar-SA"/>
              </w:rPr>
              <w:t>120</w:t>
            </w:r>
          </w:p>
        </w:tc>
        <w:tc>
          <w:tcPr>
            <w:tcW w:w="1892" w:type="dxa"/>
            <w:tcBorders>
              <w:left w:val="single" w:sz="2" w:space="0" w:color="000000"/>
              <w:bottom w:val="single" w:sz="2" w:space="0" w:color="000000"/>
            </w:tcBorders>
            <w:vAlign w:val="bottom"/>
          </w:tcPr>
          <w:p>
            <w:pPr>
              <w:pStyle w:val="Normal"/>
              <w:widowControl w:val="false"/>
              <w:tabs>
                <w:tab w:val="clear" w:pos="720"/>
              </w:tabs>
              <w:spacing w:before="0" w:after="200"/>
              <w:jc w:val="center"/>
              <w:rPr>
                <w:rFonts w:ascii="Times New Roman" w:hAnsi="Times New Roman" w:eastAsia="Calibri" w:cs="Calibri"/>
                <w:color w:val="auto"/>
                <w:kern w:val="0"/>
                <w:sz w:val="24"/>
                <w:szCs w:val="24"/>
                <w:lang w:val="ru-RU" w:eastAsia="ru-RU" w:bidi="ar-SA"/>
              </w:rPr>
            </w:pPr>
            <w:r>
              <w:rPr>
                <w:rFonts w:eastAsia="Calibri" w:cs="Calibri" w:ascii="Times New Roman" w:hAnsi="Times New Roman"/>
                <w:color w:val="auto"/>
                <w:kern w:val="0"/>
                <w:sz w:val="24"/>
                <w:szCs w:val="24"/>
                <w:lang w:val="ru-RU" w:eastAsia="ru-RU" w:bidi="ar-SA"/>
              </w:rPr>
              <w:t>метри</w:t>
            </w:r>
          </w:p>
        </w:tc>
        <w:tc>
          <w:tcPr>
            <w:tcW w:w="1887" w:type="dxa"/>
            <w:tcBorders>
              <w:left w:val="single" w:sz="2" w:space="0" w:color="000000"/>
              <w:bottom w:val="single" w:sz="2" w:space="0" w:color="000000"/>
              <w:right w:val="single" w:sz="2" w:space="0" w:color="000000"/>
            </w:tcBorders>
            <w:vAlign w:val="bottom"/>
          </w:tcPr>
          <w:p>
            <w:pPr>
              <w:pStyle w:val="Normal"/>
              <w:widowControl w:val="false"/>
              <w:tabs>
                <w:tab w:val="clear" w:pos="720"/>
              </w:tabs>
              <w:spacing w:before="0" w:after="200"/>
              <w:jc w:val="center"/>
              <w:rPr>
                <w:rFonts w:ascii="Times New Roman" w:hAnsi="Times New Roman" w:eastAsia="Calibri" w:cs="Calibri"/>
                <w:color w:val="auto"/>
                <w:kern w:val="0"/>
                <w:sz w:val="24"/>
                <w:szCs w:val="24"/>
                <w:lang w:val="ru-RU" w:eastAsia="ru-RU" w:bidi="ar-SA"/>
              </w:rPr>
            </w:pPr>
            <w:r>
              <w:rPr>
                <w:rFonts w:eastAsia="Calibri" w:cs="Calibri" w:ascii="Times New Roman" w:hAnsi="Times New Roman"/>
                <w:color w:val="auto"/>
                <w:kern w:val="0"/>
                <w:sz w:val="24"/>
                <w:szCs w:val="24"/>
                <w:lang w:val="ru-RU" w:eastAsia="ru-RU" w:bidi="ar-SA"/>
              </w:rPr>
              <w:t>2750</w:t>
            </w:r>
          </w:p>
        </w:tc>
      </w:tr>
      <w:tr>
        <w:trPr>
          <w:trHeight w:val="276" w:hRule="atLeast"/>
        </w:trPr>
        <w:tc>
          <w:tcPr>
            <w:tcW w:w="594" w:type="dxa"/>
            <w:tcBorders>
              <w:left w:val="single" w:sz="2" w:space="0" w:color="000000"/>
              <w:bottom w:val="single" w:sz="2" w:space="0" w:color="000000"/>
            </w:tcBorders>
            <w:vAlign w:val="bottom"/>
          </w:tcPr>
          <w:p>
            <w:pPr>
              <w:pStyle w:val="Normal"/>
              <w:widowControl w:val="false"/>
              <w:numPr>
                <w:ilvl w:val="0"/>
                <w:numId w:val="2"/>
              </w:numPr>
              <w:tabs>
                <w:tab w:val="clear" w:pos="720"/>
              </w:tabs>
              <w:suppressAutoHyphens w:val="true"/>
              <w:bidi w:val="0"/>
              <w:spacing w:lineRule="auto" w:line="276" w:before="0" w:after="200"/>
              <w:jc w:val="right"/>
              <w:rPr>
                <w:rFonts w:ascii="Times New Roman" w:hAnsi="Times New Roman"/>
                <w:sz w:val="24"/>
                <w:szCs w:val="24"/>
              </w:rPr>
            </w:pPr>
            <w:r>
              <w:rPr>
                <w:rFonts w:ascii="Times New Roman" w:hAnsi="Times New Roman"/>
                <w:sz w:val="24"/>
                <w:szCs w:val="24"/>
              </w:rPr>
            </w:r>
          </w:p>
        </w:tc>
        <w:tc>
          <w:tcPr>
            <w:tcW w:w="5526" w:type="dxa"/>
            <w:tcBorders>
              <w:left w:val="single" w:sz="2" w:space="0" w:color="000000"/>
              <w:bottom w:val="single" w:sz="2" w:space="0" w:color="000000"/>
            </w:tcBorders>
            <w:vAlign w:val="bottom"/>
          </w:tcPr>
          <w:p>
            <w:pPr>
              <w:pStyle w:val="Normal"/>
              <w:widowControl w:val="false"/>
              <w:tabs>
                <w:tab w:val="clear" w:pos="720"/>
              </w:tabs>
              <w:spacing w:before="0" w:after="200"/>
              <w:jc w:val="left"/>
              <w:rPr>
                <w:rFonts w:ascii="Times New Roman" w:hAnsi="Times New Roman"/>
                <w:sz w:val="24"/>
                <w:szCs w:val="24"/>
              </w:rPr>
            </w:pPr>
            <w:r>
              <w:rPr>
                <w:rFonts w:ascii="Times New Roman" w:hAnsi="Times New Roman"/>
                <w:sz w:val="24"/>
                <w:szCs w:val="24"/>
              </w:rPr>
              <w:t>Накінечники</w:t>
            </w:r>
            <w:r>
              <w:rPr>
                <w:rFonts w:ascii="Times New Roman" w:hAnsi="Times New Roman"/>
                <w:sz w:val="24"/>
                <w:szCs w:val="24"/>
                <w:lang w:val="ru-RU"/>
              </w:rPr>
              <w:t xml:space="preserve"> </w:t>
            </w:r>
            <w:r>
              <w:rPr>
                <w:rFonts w:ascii="Times New Roman" w:hAnsi="Times New Roman"/>
                <w:sz w:val="24"/>
                <w:szCs w:val="24"/>
                <w:lang w:val="ru-RU"/>
              </w:rPr>
              <w:t>мідні</w:t>
            </w:r>
            <w:r>
              <w:rPr>
                <w:rFonts w:ascii="Times New Roman" w:hAnsi="Times New Roman"/>
                <w:sz w:val="24"/>
                <w:szCs w:val="24"/>
                <w:lang w:val="ru-RU"/>
              </w:rPr>
              <w:t xml:space="preserve"> </w:t>
            </w:r>
            <w:r>
              <w:rPr>
                <w:rFonts w:ascii="Times New Roman" w:hAnsi="Times New Roman"/>
                <w:b w:val="false"/>
                <w:i w:val="false"/>
                <w:strike w:val="false"/>
                <w:dstrike w:val="false"/>
                <w:outline w:val="false"/>
                <w:shadow w:val="false"/>
                <w:color w:val="000000"/>
                <w:sz w:val="24"/>
                <w:szCs w:val="24"/>
                <w:u w:val="none"/>
                <w:em w:val="none"/>
              </w:rPr>
              <w:t>DT-</w:t>
            </w:r>
            <w:r>
              <w:rPr>
                <w:rFonts w:eastAsia="Calibri" w:cs="Times New Roman" w:ascii="Times New Roman" w:hAnsi="Times New Roman"/>
                <w:b w:val="false"/>
                <w:i w:val="false"/>
                <w:strike w:val="false"/>
                <w:dstrike w:val="false"/>
                <w:outline w:val="false"/>
                <w:shadow w:val="false"/>
                <w:color w:val="000000"/>
                <w:kern w:val="0"/>
                <w:sz w:val="24"/>
                <w:szCs w:val="24"/>
                <w:u w:val="none"/>
                <w:em w:val="none"/>
                <w:lang w:val="ru-RU" w:eastAsia="en-US" w:bidi="ar-SA"/>
              </w:rPr>
              <w:t>120</w:t>
            </w:r>
          </w:p>
        </w:tc>
        <w:tc>
          <w:tcPr>
            <w:tcW w:w="1892" w:type="dxa"/>
            <w:tcBorders>
              <w:left w:val="single" w:sz="2" w:space="0" w:color="000000"/>
              <w:bottom w:val="single" w:sz="2" w:space="0" w:color="000000"/>
            </w:tcBorders>
            <w:vAlign w:val="bottom"/>
          </w:tcPr>
          <w:p>
            <w:pPr>
              <w:pStyle w:val="Normal"/>
              <w:widowControl w:val="false"/>
              <w:tabs>
                <w:tab w:val="clear" w:pos="720"/>
              </w:tabs>
              <w:spacing w:before="0" w:after="200"/>
              <w:jc w:val="center"/>
              <w:rPr>
                <w:rFonts w:ascii="Times New Roman" w:hAnsi="Times New Roman" w:eastAsia="Calibri" w:cs="Calibri"/>
                <w:color w:val="auto"/>
                <w:kern w:val="0"/>
                <w:sz w:val="24"/>
                <w:szCs w:val="24"/>
                <w:lang w:val="ru-RU" w:eastAsia="ru-RU" w:bidi="ar-SA"/>
              </w:rPr>
            </w:pPr>
            <w:r>
              <w:rPr>
                <w:rFonts w:eastAsia="Calibri" w:cs="Calibri" w:ascii="Times New Roman" w:hAnsi="Times New Roman"/>
                <w:color w:val="auto"/>
                <w:kern w:val="0"/>
                <w:sz w:val="24"/>
                <w:szCs w:val="24"/>
                <w:lang w:val="ru-RU" w:eastAsia="ru-RU" w:bidi="ar-SA"/>
              </w:rPr>
              <w:t>штуки</w:t>
            </w:r>
          </w:p>
        </w:tc>
        <w:tc>
          <w:tcPr>
            <w:tcW w:w="1887" w:type="dxa"/>
            <w:tcBorders>
              <w:left w:val="single" w:sz="2" w:space="0" w:color="000000"/>
              <w:bottom w:val="single" w:sz="2" w:space="0" w:color="000000"/>
              <w:right w:val="single" w:sz="2" w:space="0" w:color="000000"/>
            </w:tcBorders>
            <w:vAlign w:val="bottom"/>
          </w:tcPr>
          <w:p>
            <w:pPr>
              <w:pStyle w:val="Normal"/>
              <w:widowControl w:val="false"/>
              <w:tabs>
                <w:tab w:val="clear" w:pos="720"/>
              </w:tabs>
              <w:spacing w:before="0" w:after="200"/>
              <w:jc w:val="center"/>
              <w:rPr>
                <w:rFonts w:ascii="Times New Roman" w:hAnsi="Times New Roman" w:eastAsia="Calibri" w:cs="Calibri"/>
                <w:color w:val="auto"/>
                <w:kern w:val="0"/>
                <w:sz w:val="24"/>
                <w:szCs w:val="24"/>
                <w:lang w:val="ru-RU" w:eastAsia="ru-RU" w:bidi="ar-SA"/>
              </w:rPr>
            </w:pPr>
            <w:r>
              <w:rPr>
                <w:rFonts w:eastAsia="Calibri" w:cs="Calibri" w:ascii="Times New Roman" w:hAnsi="Times New Roman"/>
                <w:color w:val="auto"/>
                <w:kern w:val="0"/>
                <w:sz w:val="24"/>
                <w:szCs w:val="24"/>
                <w:lang w:val="ru-RU" w:eastAsia="ru-RU" w:bidi="ar-SA"/>
              </w:rPr>
              <w:t>880</w:t>
            </w:r>
          </w:p>
        </w:tc>
      </w:tr>
    </w:tbl>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3. 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Гарантія якості товару, що поставляється, встановлюється протягом гарантійного терміну, установленого виробником товару. Гарантійний строк товару не може відрізнятися від гарантійного строку заводу-виробника та повинен складати не менше 12 місяців.</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 </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5. Термін придатності товару на момент поставки до замовника повинен становити не менше як </w:t>
      </w: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5% від загального терміну зберігання встановленого виробником (надати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b/>
          <w:b/>
        </w:rPr>
      </w:pPr>
      <w:r>
        <w:rPr>
          <w:rFonts w:ascii="Times New Roman" w:hAnsi="Times New Roman"/>
          <w:sz w:val="24"/>
          <w:szCs w:val="24"/>
          <w:lang w:val="ru-RU"/>
        </w:rPr>
        <w:t>6</w:t>
      </w:r>
      <w:r>
        <w:rPr>
          <w:rFonts w:ascii="Times New Roman" w:hAnsi="Times New Roman"/>
          <w:sz w:val="24"/>
          <w:szCs w:val="24"/>
        </w:rPr>
        <w:t>.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якості.(надати гарантійний лист).</w:t>
      </w:r>
    </w:p>
    <w:p>
      <w:pPr>
        <w:pStyle w:val="Normal"/>
        <w:spacing w:lineRule="atLeast" w:line="0" w:before="0" w:after="0"/>
        <w:ind w:firstLine="449"/>
        <w:jc w:val="both"/>
        <w:rPr>
          <w:rFonts w:ascii="Times New Roman" w:hAnsi="Times New Roman"/>
          <w:sz w:val="24"/>
          <w:szCs w:val="24"/>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u w:val="none"/>
        </w:rPr>
      </w:pPr>
      <w:r>
        <w:rPr>
          <w:rFonts w:cs="Times New Roman" w:ascii="Times New Roman" w:hAnsi="Times New Roman"/>
          <w:b/>
          <w:bCs/>
          <w:sz w:val="24"/>
          <w:szCs w:val="24"/>
          <w:u w:val="none"/>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pPr>
      <w:r>
        <w:rPr/>
      </w:r>
    </w:p>
    <w:p>
      <w:pPr>
        <w:pStyle w:val="Normal"/>
        <w:spacing w:lineRule="atLeast" w:line="0" w:before="0" w:after="0"/>
        <w:jc w:val="center"/>
        <w:rPr>
          <w:rFonts w:ascii="Times New Roman" w:hAnsi="Times New Roman" w:cs="Times New Roman"/>
          <w:b/>
          <w:b/>
          <w:bCs/>
          <w:i/>
          <w:i/>
          <w:iCs/>
          <w:color w:val="333333"/>
          <w:sz w:val="24"/>
          <w:szCs w:val="24"/>
        </w:rPr>
      </w:pPr>
      <w:r>
        <w:rPr>
          <w:rFonts w:cs="Times New Roman" w:ascii="Times New Roman" w:hAnsi="Times New Roman"/>
          <w:b/>
          <w:bCs/>
          <w:i/>
          <w:iCs/>
          <w:color w:val="333333"/>
          <w:sz w:val="24"/>
          <w:szCs w:val="24"/>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widowControl/>
        <w:suppressAutoHyphens w:val="true"/>
        <w:bidi w:val="0"/>
        <w:spacing w:lineRule="atLeast" w:line="0" w:before="0" w:after="0"/>
        <w:ind w:left="0" w:right="0" w:firstLine="360"/>
        <w:jc w:val="center"/>
        <w:rPr>
          <w:shd w:fill="auto" w:val="clear"/>
        </w:rPr>
      </w:pPr>
      <w:r>
        <w:rPr>
          <w:rFonts w:eastAsia="Times New Roman" w:cs="Times New Roman" w:ascii="Times New Roman" w:hAnsi="Times New Roman"/>
          <w:b/>
          <w:bCs w:val="false"/>
          <w:i/>
          <w:iCs/>
          <w:color w:val="000000"/>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__________________________________</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jc w:val="both"/>
        <w:rPr>
          <w:rFonts w:ascii="Times New Roman" w:hAnsi="Times New Roman"/>
          <w:sz w:val="24"/>
          <w:szCs w:val="24"/>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ка Кабелі силові та накінечники</w:t>
      </w:r>
      <w:r>
        <w:rPr>
          <w:rFonts w:eastAsia="Tahoma" w:cs="Times New Roman" w:ascii="Times New Roman" w:hAnsi="Times New Roman"/>
          <w:color w:val="00000A"/>
          <w:kern w:val="0"/>
          <w:sz w:val="24"/>
          <w:szCs w:val="24"/>
          <w:shd w:fill="auto" w:val="clear"/>
          <w:lang w:val="ru-RU" w:eastAsia="zh-CN" w:bidi="hi-IN"/>
        </w:rPr>
        <w:t>,</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29"/>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к”:</w:t>
      </w:r>
      <w:r>
        <w:rPr>
          <w:rFonts w:cs="Times New Roman" w:ascii="Times New Roman" w:hAnsi="Times New Roman"/>
          <w:sz w:val="24"/>
          <w:szCs w:val="24"/>
          <w:shd w:fill="auto" w:val="clear"/>
          <w:lang w:val="ru-RU"/>
        </w:rPr>
        <w:t xml:space="preserve"> </w:t>
      </w:r>
      <w:r>
        <w:rPr>
          <w:rFonts w:cs="Times New Roman" w:ascii="Times New Roman" w:hAnsi="Times New Roman"/>
          <w:sz w:val="24"/>
          <w:szCs w:val="24"/>
          <w:shd w:fill="auto" w:val="clear"/>
        </w:rPr>
        <w:t xml:space="preserve">  </w:t>
      </w:r>
      <w:r>
        <w:rPr>
          <w:rFonts w:eastAsia="Tahoma" w:cs="Times New Roman" w:ascii="Times New Roman" w:hAnsi="Times New Roman"/>
          <w:color w:val="00000A"/>
          <w:kern w:val="0"/>
          <w:sz w:val="24"/>
          <w:szCs w:val="24"/>
          <w:shd w:fill="auto" w:val="clear"/>
          <w:lang w:val="ru-RU" w:eastAsia="zh-CN" w:bidi="hi-IN"/>
        </w:rPr>
        <w:t>44320000-9 Кабелі та супутня продукція.</w:t>
      </w:r>
    </w:p>
    <w:p>
      <w:pPr>
        <w:pStyle w:val="WW"/>
        <w:tabs>
          <w:tab w:val="clear" w:pos="720"/>
          <w:tab w:val="left" w:pos="426" w:leader="none"/>
        </w:tabs>
        <w:spacing w:lineRule="auto" w:line="240" w:before="0" w:after="29"/>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технічній специфікації,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w:t>
      </w:r>
      <w:r>
        <w:rPr>
          <w:rFonts w:eastAsia="WenQuanYi Zen Hei Sharp" w:cs="Times New Roman" w:ascii="Times New Roman" w:hAnsi="Times New Roman"/>
          <w:b w:val="false"/>
          <w:color w:val="auto"/>
          <w:kern w:val="0"/>
          <w:sz w:val="24"/>
          <w:szCs w:val="24"/>
          <w:lang w:val="ru-RU" w:eastAsia="en-US" w:bidi="ar-SA"/>
        </w:rPr>
        <w:t>у т.ч.</w:t>
      </w:r>
      <w:r>
        <w:rPr>
          <w:rFonts w:cs="Times New Roman" w:ascii="Times New Roman" w:hAnsi="Times New Roman"/>
          <w:b w:val="false"/>
          <w:sz w:val="24"/>
          <w:szCs w:val="24"/>
          <w:lang w:val="ru-RU"/>
        </w:rPr>
        <w:t xml:space="preserve"> </w:t>
      </w:r>
      <w:r>
        <w:rPr>
          <w:rFonts w:cs="Times New Roman" w:ascii="Times New Roman" w:hAnsi="Times New Roman"/>
          <w:b w:val="false"/>
          <w:sz w:val="24"/>
          <w:szCs w:val="24"/>
        </w:rPr>
        <w:t>ПДВ- _____________.</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до</w:t>
      </w:r>
      <w:r>
        <w:rPr>
          <w:sz w:val="24"/>
          <w:szCs w:val="24"/>
          <w:shd w:fill="auto" w:val="clear"/>
          <w:lang w:val="uk-UA"/>
        </w:rPr>
        <w:t xml:space="preserve"> </w:t>
      </w:r>
      <w:r>
        <w:rPr>
          <w:rFonts w:eastAsia="Times New Roman" w:cs="Times New Roman"/>
          <w:color w:val="000000"/>
          <w:kern w:val="0"/>
          <w:sz w:val="24"/>
          <w:szCs w:val="24"/>
          <w:shd w:fill="auto" w:val="clear"/>
          <w:lang w:val="ru-RU" w:eastAsia="zh-CN" w:bidi="ar-SA"/>
        </w:rPr>
        <w:t>30.0</w:t>
      </w:r>
      <w:r>
        <w:rPr>
          <w:rFonts w:eastAsia="Times New Roman" w:cs="Times New Roman"/>
          <w:color w:val="000000"/>
          <w:kern w:val="0"/>
          <w:sz w:val="24"/>
          <w:szCs w:val="24"/>
          <w:shd w:fill="auto" w:val="clear"/>
          <w:lang w:val="ru-RU" w:eastAsia="zh-CN" w:bidi="ar-SA"/>
        </w:rPr>
        <w:t>6</w:t>
      </w:r>
      <w:r>
        <w:rPr>
          <w:rFonts w:eastAsia="Times New Roman" w:cs="Times New Roman"/>
          <w:color w:val="000000"/>
          <w:kern w:val="0"/>
          <w:sz w:val="24"/>
          <w:szCs w:val="24"/>
          <w:shd w:fill="auto" w:val="clear"/>
          <w:lang w:val="ru-RU" w:eastAsia="zh-CN" w:bidi="ar-SA"/>
        </w:rPr>
        <w:t>.2024</w:t>
      </w:r>
      <w:r>
        <w:rPr>
          <w:sz w:val="24"/>
          <w:szCs w:val="24"/>
          <w:lang w:val="uk-UA"/>
        </w:rPr>
        <w:t xml:space="preserve"> року.</w:t>
      </w:r>
    </w:p>
    <w:p>
      <w:pPr>
        <w:pStyle w:val="WW"/>
        <w:spacing w:lineRule="auto" w:line="240" w:before="0" w:after="0"/>
        <w:ind w:hanging="0"/>
        <w:rPr>
          <w:rFonts w:ascii="Times New Roman" w:hAnsi="Times New Roman"/>
          <w:sz w:val="24"/>
          <w:szCs w:val="24"/>
        </w:rPr>
      </w:pPr>
      <w:r>
        <w:rPr>
          <w:sz w:val="24"/>
          <w:szCs w:val="24"/>
          <w:lang w:val="uk-UA"/>
        </w:rPr>
        <w:t xml:space="preserve">5.2. Місце поставки Товару: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u w:val="none"/>
        </w:rPr>
      </w:pPr>
      <w:r>
        <w:rPr>
          <w:rFonts w:cs="Times New Roman" w:ascii="Times New Roman" w:hAnsi="Times New Roman"/>
          <w:b/>
          <w:sz w:val="24"/>
          <w:szCs w:val="24"/>
          <w:u w:val="none"/>
        </w:rPr>
        <w:t>XІ</w:t>
      </w:r>
      <w:r>
        <w:rPr>
          <w:rFonts w:cs="Times New Roman" w:ascii="Times New Roman" w:hAnsi="Times New Roman"/>
          <w:b/>
          <w:sz w:val="24"/>
          <w:szCs w:val="24"/>
          <w:u w:val="none"/>
          <w:lang w:val="en-US"/>
        </w:rPr>
        <w:t>V</w:t>
      </w:r>
      <w:r>
        <w:rPr>
          <w:rFonts w:cs="Times New Roman" w:ascii="Times New Roman" w:hAnsi="Times New Roman"/>
          <w:b/>
          <w:sz w:val="24"/>
          <w:szCs w:val="24"/>
          <w:u w:val="non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Розрахунковий рахунок 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ачальник_________</w:t>
            </w:r>
            <w:r>
              <w:rPr>
                <w:rFonts w:eastAsia="Calibri" w:cs="Times New Roman" w:ascii="Times New Roman" w:hAnsi="Times New Roman" w:eastAsiaTheme="minorHAnsi"/>
                <w:color w:val="auto"/>
                <w:kern w:val="0"/>
                <w:sz w:val="24"/>
                <w:szCs w:val="24"/>
                <w:lang w:val="ru-RU" w:eastAsia="en-US" w:bidi="ar-SA"/>
              </w:rPr>
              <w:t>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2" w:name="_GoBack11"/>
      <w:bookmarkStart w:id="3" w:name="_GoBack11"/>
      <w:bookmarkEnd w:id="3"/>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2"/>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Cs/>
                <w:sz w:val="24"/>
                <w:szCs w:val="24"/>
              </w:rPr>
            </w:pPr>
            <w:r>
              <w:rPr>
                <w:rFonts w:cs="Times New Roman" w:ascii="Times New Roman" w:hAnsi="Times New Roman"/>
                <w:bCs/>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bCs/>
                <w:sz w:val="24"/>
                <w:szCs w:val="24"/>
              </w:rPr>
            </w:pPr>
            <w:r>
              <w:rPr>
                <w:rFonts w:cs="Times New Roman" w:ascii="Times New Roman" w:hAnsi="Times New Roman"/>
                <w:b/>
                <w:bCs/>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Загальна вартість з ПДВ, грн.</w:t>
            </w:r>
          </w:p>
        </w:tc>
      </w:tr>
      <w:tr>
        <w:trPr>
          <w:trHeight w:val="932"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w:t>
            </w:r>
            <w:r>
              <w:rPr>
                <w:rFonts w:eastAsia="Calibri" w:cs="Times New Roman" w:ascii="Times New Roman" w:hAnsi="Times New Roman" w:eastAsiaTheme="minorHAnsi"/>
                <w:color w:val="auto"/>
                <w:kern w:val="0"/>
                <w:sz w:val="24"/>
                <w:szCs w:val="24"/>
                <w:lang w:val="ru-RU" w:eastAsia="en-US" w:bidi="ar-SA"/>
              </w:rPr>
              <w:t>_____________________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22560042"/>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39558388"/>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86086857"/>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540"/>
        </w:tabs>
        <w:ind w:left="540" w:hanging="360"/>
      </w:pPr>
      <w:rPr/>
    </w:lvl>
    <w:lvl w:ilvl="1">
      <w:start w:val="1"/>
      <w:numFmt w:val="decimal"/>
      <w:lvlText w:val="%2."/>
      <w:lvlJc w:val="left"/>
      <w:pPr>
        <w:tabs>
          <w:tab w:val="num" w:pos="900"/>
        </w:tabs>
        <w:ind w:left="900" w:hanging="360"/>
      </w:pPr>
      <w:rPr/>
    </w:lvl>
    <w:lvl w:ilvl="2">
      <w:start w:val="1"/>
      <w:numFmt w:val="decimal"/>
      <w:lvlText w:val="%3."/>
      <w:lvlJc w:val="left"/>
      <w:pPr>
        <w:tabs>
          <w:tab w:val="num" w:pos="1260"/>
        </w:tabs>
        <w:ind w:left="1260" w:hanging="360"/>
      </w:pPr>
      <w:rPr/>
    </w:lvl>
    <w:lvl w:ilvl="3">
      <w:start w:val="1"/>
      <w:numFmt w:val="decimal"/>
      <w:lvlText w:val="%4."/>
      <w:lvlJc w:val="left"/>
      <w:pPr>
        <w:tabs>
          <w:tab w:val="num" w:pos="1620"/>
        </w:tabs>
        <w:ind w:left="1620" w:hanging="360"/>
      </w:pPr>
      <w:rPr/>
    </w:lvl>
    <w:lvl w:ilvl="4">
      <w:start w:val="1"/>
      <w:numFmt w:val="decimal"/>
      <w:lvlText w:val="%5."/>
      <w:lvlJc w:val="left"/>
      <w:pPr>
        <w:tabs>
          <w:tab w:val="num" w:pos="1980"/>
        </w:tabs>
        <w:ind w:left="1980" w:hanging="360"/>
      </w:pPr>
      <w:rPr/>
    </w:lvl>
    <w:lvl w:ilvl="5">
      <w:start w:val="1"/>
      <w:numFmt w:val="decimal"/>
      <w:lvlText w:val="%6."/>
      <w:lvlJc w:val="left"/>
      <w:pPr>
        <w:tabs>
          <w:tab w:val="num" w:pos="2340"/>
        </w:tabs>
        <w:ind w:left="2340" w:hanging="360"/>
      </w:pPr>
      <w:rPr/>
    </w:lvl>
    <w:lvl w:ilvl="6">
      <w:start w:val="1"/>
      <w:numFmt w:val="decimal"/>
      <w:lvlText w:val="%7."/>
      <w:lvlJc w:val="left"/>
      <w:pPr>
        <w:tabs>
          <w:tab w:val="num" w:pos="2700"/>
        </w:tabs>
        <w:ind w:left="2700" w:hanging="360"/>
      </w:pPr>
      <w:rPr/>
    </w:lvl>
    <w:lvl w:ilvl="7">
      <w:start w:val="1"/>
      <w:numFmt w:val="decimal"/>
      <w:lvlText w:val="%8."/>
      <w:lvlJc w:val="left"/>
      <w:pPr>
        <w:tabs>
          <w:tab w:val="num" w:pos="3060"/>
        </w:tabs>
        <w:ind w:left="3060" w:hanging="360"/>
      </w:pPr>
      <w:rPr/>
    </w:lvl>
    <w:lvl w:ilvl="8">
      <w:start w:val="1"/>
      <w:numFmt w:val="decimal"/>
      <w:lvlText w:val="%9."/>
      <w:lvlJc w:val="left"/>
      <w:pPr>
        <w:tabs>
          <w:tab w:val="num" w:pos="3420"/>
        </w:tabs>
        <w:ind w:left="342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Application>LibreOffice/7.0.3.1$Windows_X86_64 LibreOffice_project/d7547858d014d4cf69878db179d326fc3483e082</Application>
  <Pages>41</Pages>
  <Words>12989</Words>
  <Characters>88833</Characters>
  <CharactersWithSpaces>101538</CharactersWithSpaces>
  <Paragraphs>547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2024-04-12T16:33:41Z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