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F82" w14:textId="77777777" w:rsidR="00887DA3" w:rsidRPr="007F3546" w:rsidRDefault="00887DA3" w:rsidP="00887DA3">
      <w:pPr>
        <w:widowControl w:val="0"/>
        <w:suppressAutoHyphens/>
        <w:autoSpaceDE w:val="0"/>
        <w:ind w:right="140" w:firstLine="0"/>
        <w:jc w:val="right"/>
        <w:rPr>
          <w:rFonts w:eastAsia="Arial"/>
          <w:b/>
          <w:szCs w:val="24"/>
          <w:lang w:val="ru-RU" w:bidi="en-US"/>
        </w:rPr>
      </w:pPr>
      <w:proofErr w:type="spellStart"/>
      <w:r w:rsidRPr="007F3546">
        <w:rPr>
          <w:rFonts w:eastAsia="Arial"/>
          <w:b/>
          <w:szCs w:val="24"/>
          <w:lang w:val="ru-RU" w:bidi="en-US"/>
        </w:rPr>
        <w:t>Додаток</w:t>
      </w:r>
      <w:proofErr w:type="spellEnd"/>
      <w:r w:rsidRPr="007F3546">
        <w:rPr>
          <w:rFonts w:eastAsia="Arial"/>
          <w:b/>
          <w:szCs w:val="24"/>
          <w:lang w:val="ru-RU" w:bidi="en-US"/>
        </w:rPr>
        <w:t xml:space="preserve"> 1 </w:t>
      </w:r>
    </w:p>
    <w:p w14:paraId="51BC7179" w14:textId="77777777" w:rsidR="004D7092" w:rsidRPr="007F3546" w:rsidRDefault="004D7092" w:rsidP="00887DA3">
      <w:pPr>
        <w:widowControl w:val="0"/>
        <w:suppressAutoHyphens/>
        <w:autoSpaceDE w:val="0"/>
        <w:ind w:right="140" w:firstLine="0"/>
        <w:jc w:val="right"/>
        <w:rPr>
          <w:rFonts w:eastAsia="Arial"/>
          <w:b/>
          <w:szCs w:val="24"/>
          <w:lang w:val="ru-RU" w:bidi="en-US"/>
        </w:rPr>
      </w:pPr>
      <w:r w:rsidRPr="007F3546">
        <w:rPr>
          <w:rFonts w:eastAsia="Arial"/>
          <w:b/>
          <w:szCs w:val="24"/>
          <w:lang w:val="ru-RU" w:bidi="en-US"/>
        </w:rPr>
        <w:t xml:space="preserve">до </w:t>
      </w:r>
      <w:proofErr w:type="spellStart"/>
      <w:r w:rsidRPr="007F3546">
        <w:rPr>
          <w:rFonts w:eastAsia="Arial"/>
          <w:b/>
          <w:szCs w:val="24"/>
          <w:lang w:val="ru-RU" w:bidi="en-US"/>
        </w:rPr>
        <w:t>Оголошення</w:t>
      </w:r>
      <w:proofErr w:type="spellEnd"/>
      <w:r w:rsidRPr="007F3546">
        <w:rPr>
          <w:rFonts w:eastAsia="Arial"/>
          <w:b/>
          <w:szCs w:val="24"/>
          <w:lang w:val="ru-RU" w:bidi="en-US"/>
        </w:rPr>
        <w:t xml:space="preserve"> про </w:t>
      </w:r>
      <w:proofErr w:type="spellStart"/>
      <w:r w:rsidRPr="007F3546">
        <w:rPr>
          <w:rFonts w:eastAsia="Arial"/>
          <w:b/>
          <w:szCs w:val="24"/>
          <w:lang w:val="ru-RU" w:bidi="en-US"/>
        </w:rPr>
        <w:t>проведення</w:t>
      </w:r>
      <w:proofErr w:type="spellEnd"/>
      <w:r w:rsidRPr="007F3546">
        <w:rPr>
          <w:rFonts w:eastAsia="Arial"/>
          <w:b/>
          <w:szCs w:val="24"/>
          <w:lang w:val="ru-RU" w:bidi="en-US"/>
        </w:rPr>
        <w:t xml:space="preserve"> </w:t>
      </w:r>
      <w:proofErr w:type="spellStart"/>
      <w:r w:rsidRPr="007F3546">
        <w:rPr>
          <w:rFonts w:eastAsia="Arial"/>
          <w:b/>
          <w:szCs w:val="24"/>
          <w:lang w:val="ru-RU" w:bidi="en-US"/>
        </w:rPr>
        <w:t>спрощеної</w:t>
      </w:r>
      <w:proofErr w:type="spellEnd"/>
      <w:r w:rsidRPr="007F3546">
        <w:rPr>
          <w:rFonts w:eastAsia="Arial"/>
          <w:b/>
          <w:szCs w:val="24"/>
          <w:lang w:val="ru-RU" w:bidi="en-US"/>
        </w:rPr>
        <w:t xml:space="preserve"> </w:t>
      </w:r>
      <w:proofErr w:type="spellStart"/>
      <w:r w:rsidRPr="007F3546">
        <w:rPr>
          <w:rFonts w:eastAsia="Arial"/>
          <w:b/>
          <w:szCs w:val="24"/>
          <w:lang w:val="ru-RU" w:bidi="en-US"/>
        </w:rPr>
        <w:t>закупівлі</w:t>
      </w:r>
      <w:proofErr w:type="spellEnd"/>
    </w:p>
    <w:p w14:paraId="455A013A" w14:textId="77777777" w:rsidR="004D7092" w:rsidRPr="007F3546" w:rsidRDefault="004D7092" w:rsidP="00887DA3">
      <w:pPr>
        <w:widowControl w:val="0"/>
        <w:suppressAutoHyphens/>
        <w:autoSpaceDE w:val="0"/>
        <w:ind w:right="140" w:firstLine="0"/>
        <w:jc w:val="right"/>
        <w:rPr>
          <w:rFonts w:eastAsia="Arial"/>
          <w:b/>
          <w:szCs w:val="24"/>
          <w:lang w:val="ru-RU" w:bidi="en-US"/>
        </w:rPr>
      </w:pPr>
      <w:r w:rsidRPr="007F3546">
        <w:rPr>
          <w:rFonts w:eastAsia="Arial"/>
          <w:b/>
          <w:szCs w:val="24"/>
          <w:lang w:val="ru-RU" w:bidi="en-US"/>
        </w:rPr>
        <w:t xml:space="preserve"> через систему </w:t>
      </w:r>
      <w:proofErr w:type="spellStart"/>
      <w:r w:rsidRPr="007F3546">
        <w:rPr>
          <w:rFonts w:eastAsia="Arial"/>
          <w:b/>
          <w:szCs w:val="24"/>
          <w:lang w:val="ru-RU" w:bidi="en-US"/>
        </w:rPr>
        <w:t>електронних</w:t>
      </w:r>
      <w:proofErr w:type="spellEnd"/>
      <w:r w:rsidRPr="007F3546">
        <w:rPr>
          <w:rFonts w:eastAsia="Arial"/>
          <w:b/>
          <w:szCs w:val="24"/>
          <w:lang w:val="ru-RU" w:bidi="en-US"/>
        </w:rPr>
        <w:t xml:space="preserve"> </w:t>
      </w:r>
      <w:proofErr w:type="spellStart"/>
      <w:r w:rsidRPr="007F3546">
        <w:rPr>
          <w:rFonts w:eastAsia="Arial"/>
          <w:b/>
          <w:szCs w:val="24"/>
          <w:lang w:val="ru-RU" w:bidi="en-US"/>
        </w:rPr>
        <w:t>закупівель</w:t>
      </w:r>
      <w:proofErr w:type="spellEnd"/>
    </w:p>
    <w:p w14:paraId="28EDF8D8" w14:textId="77777777" w:rsidR="00887DA3" w:rsidRPr="007F3546" w:rsidRDefault="00887DA3" w:rsidP="00887DA3">
      <w:pPr>
        <w:widowControl w:val="0"/>
        <w:suppressAutoHyphens/>
        <w:autoSpaceDE w:val="0"/>
        <w:ind w:hanging="425"/>
        <w:contextualSpacing/>
        <w:jc w:val="center"/>
        <w:rPr>
          <w:rFonts w:eastAsia="Arial"/>
          <w:b/>
          <w:szCs w:val="24"/>
          <w:lang w:bidi="en-US"/>
        </w:rPr>
      </w:pPr>
    </w:p>
    <w:p w14:paraId="4C704A17" w14:textId="77777777" w:rsidR="004D7092" w:rsidRPr="007F3546" w:rsidRDefault="004D7092" w:rsidP="00887DA3">
      <w:pPr>
        <w:widowControl w:val="0"/>
        <w:suppressAutoHyphens/>
        <w:autoSpaceDE w:val="0"/>
        <w:ind w:hanging="425"/>
        <w:contextualSpacing/>
        <w:jc w:val="center"/>
        <w:rPr>
          <w:rFonts w:eastAsia="Arial"/>
          <w:b/>
          <w:szCs w:val="24"/>
          <w:lang w:bidi="en-US"/>
        </w:rPr>
      </w:pPr>
    </w:p>
    <w:p w14:paraId="0AD7231C" w14:textId="77777777" w:rsidR="00887DA3" w:rsidRPr="007F3546" w:rsidRDefault="00887DA3" w:rsidP="00887DA3">
      <w:pPr>
        <w:widowControl w:val="0"/>
        <w:suppressAutoHyphens/>
        <w:autoSpaceDE w:val="0"/>
        <w:spacing w:line="276" w:lineRule="auto"/>
        <w:ind w:firstLine="0"/>
        <w:jc w:val="center"/>
        <w:rPr>
          <w:rFonts w:eastAsia="Arial"/>
          <w:b/>
          <w:iCs/>
          <w:sz w:val="28"/>
          <w:szCs w:val="28"/>
          <w:lang w:bidi="en-US"/>
        </w:rPr>
      </w:pPr>
      <w:bookmarkStart w:id="0" w:name="_Hlk41482719"/>
      <w:r w:rsidRPr="007F3546">
        <w:rPr>
          <w:rFonts w:eastAsia="Arial"/>
          <w:b/>
          <w:bCs/>
          <w:sz w:val="28"/>
          <w:szCs w:val="28"/>
          <w:lang w:eastAsia="uk-UA" w:bidi="en-US"/>
        </w:rPr>
        <w:t>Технічні в</w:t>
      </w:r>
      <w:r w:rsidRPr="007F3546">
        <w:rPr>
          <w:rFonts w:eastAsia="Arial"/>
          <w:b/>
          <w:bCs/>
          <w:sz w:val="28"/>
          <w:szCs w:val="28"/>
          <w:lang w:bidi="en-US"/>
        </w:rPr>
        <w:t>имоги  до  предмету закупівлі</w:t>
      </w:r>
      <w:r w:rsidR="00BB11ED" w:rsidRPr="007F3546">
        <w:rPr>
          <w:rFonts w:eastAsia="Arial"/>
          <w:b/>
          <w:bCs/>
          <w:sz w:val="28"/>
          <w:szCs w:val="28"/>
          <w:lang w:bidi="en-US"/>
        </w:rPr>
        <w:t>*</w:t>
      </w:r>
    </w:p>
    <w:bookmarkEnd w:id="0"/>
    <w:p w14:paraId="7A6A98F9" w14:textId="77777777" w:rsidR="00B55027" w:rsidRPr="008D5E66" w:rsidRDefault="00B55027" w:rsidP="00887DA3">
      <w:pPr>
        <w:widowControl w:val="0"/>
        <w:suppressAutoHyphens/>
        <w:autoSpaceDE w:val="0"/>
        <w:ind w:firstLine="0"/>
        <w:jc w:val="center"/>
        <w:rPr>
          <w:rFonts w:eastAsia="Arial"/>
          <w:b/>
          <w:i/>
          <w:sz w:val="28"/>
          <w:szCs w:val="24"/>
          <w:lang w:bidi="en-US"/>
        </w:rPr>
      </w:pPr>
      <w:r w:rsidRPr="008D5E66">
        <w:rPr>
          <w:rFonts w:eastAsia="Arial"/>
          <w:b/>
          <w:i/>
          <w:sz w:val="28"/>
          <w:szCs w:val="24"/>
          <w:lang w:bidi="en-US"/>
        </w:rPr>
        <w:t>Інформація про якісні та кількісні характеристики предмета закупівлі</w:t>
      </w:r>
    </w:p>
    <w:p w14:paraId="667B8450" w14:textId="33846E03" w:rsidR="00A97723" w:rsidRPr="008D5E66" w:rsidRDefault="00887DA3" w:rsidP="00A97723">
      <w:pPr>
        <w:widowControl w:val="0"/>
        <w:suppressAutoHyphens/>
        <w:autoSpaceDE w:val="0"/>
        <w:ind w:firstLine="0"/>
        <w:jc w:val="center"/>
        <w:rPr>
          <w:rFonts w:eastAsia="Arial"/>
          <w:b/>
          <w:strike/>
          <w:sz w:val="28"/>
          <w:szCs w:val="24"/>
          <w:lang w:bidi="en-US"/>
        </w:rPr>
      </w:pPr>
      <w:r w:rsidRPr="008D5E66">
        <w:rPr>
          <w:rFonts w:eastAsia="Arial"/>
          <w:b/>
          <w:i/>
          <w:sz w:val="28"/>
          <w:szCs w:val="24"/>
          <w:lang w:bidi="en-US"/>
        </w:rPr>
        <w:t xml:space="preserve">за кодом CPV  </w:t>
      </w:r>
      <w:r w:rsidR="00612A4B" w:rsidRPr="008D5E66">
        <w:rPr>
          <w:rFonts w:eastAsia="Arial"/>
          <w:b/>
          <w:i/>
          <w:sz w:val="28"/>
          <w:szCs w:val="24"/>
          <w:lang w:bidi="en-US"/>
        </w:rPr>
        <w:t xml:space="preserve">ДК 021:2015 - </w:t>
      </w:r>
      <w:r w:rsidR="00EF1360" w:rsidRPr="00EF1360">
        <w:rPr>
          <w:rFonts w:eastAsia="Arial"/>
          <w:b/>
          <w:i/>
          <w:sz w:val="28"/>
          <w:szCs w:val="24"/>
          <w:lang w:bidi="en-US"/>
        </w:rPr>
        <w:t>39710000-2: Електричні побутові прилади (</w:t>
      </w:r>
      <w:r w:rsidR="008B7F94" w:rsidRPr="008B7F94">
        <w:rPr>
          <w:rFonts w:eastAsia="Arial"/>
          <w:b/>
          <w:i/>
          <w:sz w:val="28"/>
          <w:szCs w:val="24"/>
          <w:lang w:bidi="en-US"/>
        </w:rPr>
        <w:t>(39715100-8 Проточні чи акумуляційні водонагрівачі та занурювані електричні нагрівачі)</w:t>
      </w:r>
    </w:p>
    <w:p w14:paraId="2B8FD4A5" w14:textId="77777777" w:rsidR="00887DA3" w:rsidRPr="008D5E66" w:rsidRDefault="00887DA3" w:rsidP="00887DA3">
      <w:pPr>
        <w:widowControl w:val="0"/>
        <w:suppressAutoHyphens/>
        <w:autoSpaceDE w:val="0"/>
        <w:ind w:firstLine="0"/>
        <w:jc w:val="center"/>
        <w:rPr>
          <w:rFonts w:eastAsia="Arial"/>
          <w:b/>
          <w:strike/>
          <w:sz w:val="28"/>
          <w:szCs w:val="24"/>
          <w:lang w:bidi="en-US"/>
        </w:rPr>
      </w:pPr>
    </w:p>
    <w:p w14:paraId="47DD80C7" w14:textId="415B1BDE" w:rsidR="00C917A7" w:rsidRPr="00155D4C" w:rsidRDefault="008B7F94" w:rsidP="00EF1360">
      <w:pPr>
        <w:pStyle w:val="a6"/>
        <w:numPr>
          <w:ilvl w:val="0"/>
          <w:numId w:val="1"/>
        </w:numPr>
        <w:spacing w:after="100" w:afterAutospacing="1"/>
        <w:rPr>
          <w:b/>
        </w:rPr>
      </w:pPr>
      <w:bookmarkStart w:id="1" w:name="_Hlk110607522"/>
      <w:r w:rsidRPr="006D6DB5">
        <w:rPr>
          <w:b/>
          <w:sz w:val="28"/>
        </w:rPr>
        <w:t>Водонагр</w:t>
      </w:r>
      <w:r>
        <w:rPr>
          <w:b/>
          <w:sz w:val="28"/>
        </w:rPr>
        <w:t>і</w:t>
      </w:r>
      <w:r w:rsidRPr="006D6DB5">
        <w:rPr>
          <w:b/>
          <w:sz w:val="28"/>
        </w:rPr>
        <w:t>вач (</w:t>
      </w:r>
      <w:r w:rsidR="00A54041" w:rsidRPr="006D6DB5">
        <w:rPr>
          <w:b/>
          <w:sz w:val="28"/>
        </w:rPr>
        <w:t>б</w:t>
      </w:r>
      <w:r w:rsidRPr="006D6DB5">
        <w:rPr>
          <w:b/>
          <w:sz w:val="28"/>
        </w:rPr>
        <w:t>ойлер)</w:t>
      </w:r>
      <w:r w:rsidR="00C917A7" w:rsidRPr="00155D4C">
        <w:rPr>
          <w:b/>
          <w:sz w:val="28"/>
        </w:rPr>
        <w:t xml:space="preserve"> </w:t>
      </w:r>
      <w:bookmarkEnd w:id="1"/>
      <w:r w:rsidR="00155D4C" w:rsidRPr="00155D4C">
        <w:rPr>
          <w:b/>
          <w:sz w:val="28"/>
        </w:rPr>
        <w:t xml:space="preserve">в кількості </w:t>
      </w:r>
      <w:r w:rsidR="00447731">
        <w:rPr>
          <w:b/>
          <w:sz w:val="28"/>
        </w:rPr>
        <w:t>–</w:t>
      </w:r>
      <w:r w:rsidR="00155D4C" w:rsidRPr="00155D4C">
        <w:rPr>
          <w:b/>
          <w:sz w:val="28"/>
        </w:rPr>
        <w:t xml:space="preserve"> </w:t>
      </w:r>
      <w:r w:rsidRPr="006D6DB5">
        <w:rPr>
          <w:b/>
          <w:sz w:val="28"/>
        </w:rPr>
        <w:t>1</w:t>
      </w:r>
      <w:r w:rsidR="00447731">
        <w:rPr>
          <w:b/>
          <w:sz w:val="28"/>
        </w:rPr>
        <w:t xml:space="preserve"> </w:t>
      </w:r>
      <w:r w:rsidR="00155D4C" w:rsidRPr="00155D4C">
        <w:rPr>
          <w:b/>
          <w:sz w:val="28"/>
        </w:rPr>
        <w:t xml:space="preserve">шт., </w:t>
      </w:r>
      <w:r w:rsidR="00A54041">
        <w:rPr>
          <w:b/>
          <w:sz w:val="28"/>
        </w:rPr>
        <w:t>має</w:t>
      </w:r>
      <w:r w:rsidR="00C917A7" w:rsidRPr="00155D4C">
        <w:rPr>
          <w:b/>
          <w:sz w:val="28"/>
        </w:rPr>
        <w:t xml:space="preserve"> відповідати вимогам:      </w:t>
      </w:r>
    </w:p>
    <w:tbl>
      <w:tblPr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237"/>
      </w:tblGrid>
      <w:tr w:rsidR="004D6845" w:rsidRPr="00D210AC" w14:paraId="1E6C6AB3" w14:textId="77777777" w:rsidTr="004D6845">
        <w:trPr>
          <w:trHeight w:val="150"/>
        </w:trPr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7A22D09" w14:textId="77777777" w:rsidR="004D6845" w:rsidRPr="00D210AC" w:rsidRDefault="004D6845" w:rsidP="002B28EA">
            <w:pPr>
              <w:widowControl w:val="0"/>
              <w:ind w:firstLine="0"/>
              <w:rPr>
                <w:b/>
              </w:rPr>
            </w:pPr>
            <w:r w:rsidRPr="00D210AC">
              <w:rPr>
                <w:b/>
              </w:rPr>
              <w:t xml:space="preserve">№ </w:t>
            </w:r>
            <w:r>
              <w:rPr>
                <w:b/>
              </w:rPr>
              <w:t>з</w:t>
            </w:r>
            <w:r w:rsidRPr="00D210AC"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43A66479" w14:textId="77777777" w:rsidR="004D6845" w:rsidRPr="002B28EA" w:rsidRDefault="004D6845" w:rsidP="00271081">
            <w:pPr>
              <w:ind w:firstLine="0"/>
              <w:rPr>
                <w:b/>
                <w:color w:val="333333"/>
                <w:shd w:val="clear" w:color="auto" w:fill="FFFFFF"/>
              </w:rPr>
            </w:pPr>
            <w:r w:rsidRPr="002B28EA">
              <w:rPr>
                <w:b/>
                <w:color w:val="333333"/>
                <w:shd w:val="clear" w:color="auto" w:fill="FFFFFF"/>
              </w:rPr>
              <w:t>Найменування</w:t>
            </w: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1694441" w14:textId="77777777" w:rsidR="004D6845" w:rsidRPr="002B28EA" w:rsidRDefault="004D6845" w:rsidP="004D6845">
            <w:pPr>
              <w:ind w:firstLine="0"/>
              <w:rPr>
                <w:b/>
              </w:rPr>
            </w:pPr>
            <w:r>
              <w:rPr>
                <w:b/>
              </w:rPr>
              <w:t>Параметри та технічні вимоги</w:t>
            </w:r>
          </w:p>
        </w:tc>
      </w:tr>
      <w:tr w:rsidR="004D6845" w:rsidRPr="00675879" w14:paraId="67D01E8F" w14:textId="77777777" w:rsidTr="003F4687">
        <w:trPr>
          <w:cantSplit/>
          <w:trHeight w:val="9751"/>
        </w:trPr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61CE2" w14:textId="77777777" w:rsidR="004D6845" w:rsidRPr="00D210AC" w:rsidRDefault="004D6845" w:rsidP="005A7352">
            <w:pPr>
              <w:widowControl w:val="0"/>
              <w:ind w:firstLine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E0338" w14:textId="77777777" w:rsidR="006D6DB5" w:rsidRDefault="006D6DB5" w:rsidP="005A7352">
            <w:pPr>
              <w:ind w:firstLine="0"/>
              <w:rPr>
                <w:rFonts w:eastAsia="Arial"/>
                <w:b/>
                <w:i/>
                <w:sz w:val="28"/>
                <w:szCs w:val="24"/>
                <w:lang w:bidi="en-US"/>
              </w:rPr>
            </w:pPr>
            <w:r w:rsidRPr="006D6DB5">
              <w:rPr>
                <w:rFonts w:eastAsia="Arial"/>
                <w:b/>
                <w:i/>
                <w:sz w:val="28"/>
                <w:szCs w:val="24"/>
                <w:lang w:bidi="en-US"/>
              </w:rPr>
              <w:t xml:space="preserve">Водонагрівач (бойлер) електричний накопичувальний </w:t>
            </w:r>
          </w:p>
          <w:p w14:paraId="4515C0BD" w14:textId="77777777" w:rsidR="006D6DB5" w:rsidRDefault="006D6DB5" w:rsidP="005A7352">
            <w:pPr>
              <w:ind w:firstLine="0"/>
              <w:rPr>
                <w:rFonts w:eastAsia="Arial"/>
                <w:b/>
                <w:i/>
                <w:sz w:val="28"/>
                <w:szCs w:val="24"/>
                <w:lang w:bidi="en-US"/>
              </w:rPr>
            </w:pPr>
          </w:p>
          <w:p w14:paraId="4BA23A23" w14:textId="77777777" w:rsidR="006D6DB5" w:rsidRDefault="006D6DB5" w:rsidP="005A7352">
            <w:pPr>
              <w:ind w:firstLine="0"/>
              <w:rPr>
                <w:rFonts w:eastAsia="Arial"/>
                <w:b/>
                <w:i/>
                <w:sz w:val="28"/>
                <w:szCs w:val="24"/>
                <w:lang w:bidi="en-US"/>
              </w:rPr>
            </w:pPr>
            <w:r>
              <w:rPr>
                <w:rFonts w:eastAsia="Arial"/>
                <w:b/>
                <w:i/>
                <w:sz w:val="28"/>
                <w:szCs w:val="24"/>
                <w:lang w:bidi="en-US"/>
              </w:rPr>
              <w:t>(</w:t>
            </w:r>
            <w:proofErr w:type="spellStart"/>
            <w:r w:rsidRPr="006D6DB5">
              <w:rPr>
                <w:rFonts w:eastAsia="Arial"/>
                <w:b/>
                <w:i/>
                <w:sz w:val="28"/>
                <w:szCs w:val="24"/>
                <w:lang w:bidi="en-US"/>
              </w:rPr>
              <w:t>Gorenje</w:t>
            </w:r>
            <w:proofErr w:type="spellEnd"/>
            <w:r w:rsidRPr="006D6DB5">
              <w:rPr>
                <w:rFonts w:eastAsia="Arial"/>
                <w:b/>
                <w:i/>
                <w:sz w:val="28"/>
                <w:szCs w:val="24"/>
                <w:lang w:bidi="en-US"/>
              </w:rPr>
              <w:t xml:space="preserve"> </w:t>
            </w:r>
          </w:p>
          <w:p w14:paraId="3A71FB62" w14:textId="4D7E2777" w:rsidR="004D6845" w:rsidRDefault="006D6DB5" w:rsidP="005A7352">
            <w:pPr>
              <w:ind w:firstLine="0"/>
              <w:rPr>
                <w:rFonts w:eastAsia="Arial"/>
                <w:b/>
                <w:i/>
                <w:sz w:val="28"/>
                <w:szCs w:val="24"/>
                <w:lang w:bidi="en-US"/>
              </w:rPr>
            </w:pPr>
            <w:r w:rsidRPr="006D6DB5">
              <w:rPr>
                <w:rFonts w:eastAsia="Arial"/>
                <w:b/>
                <w:i/>
                <w:sz w:val="28"/>
                <w:szCs w:val="24"/>
                <w:lang w:bidi="en-US"/>
              </w:rPr>
              <w:t>GBFU</w:t>
            </w:r>
            <w:r>
              <w:rPr>
                <w:rFonts w:eastAsia="Arial"/>
                <w:b/>
                <w:i/>
                <w:sz w:val="28"/>
                <w:szCs w:val="24"/>
                <w:lang w:bidi="en-US"/>
              </w:rPr>
              <w:t xml:space="preserve"> </w:t>
            </w:r>
            <w:r w:rsidRPr="006D6DB5">
              <w:rPr>
                <w:rFonts w:eastAsia="Arial"/>
                <w:b/>
                <w:i/>
                <w:sz w:val="28"/>
                <w:szCs w:val="24"/>
                <w:lang w:bidi="en-US"/>
              </w:rPr>
              <w:t>50SIM</w:t>
            </w:r>
            <w:r w:rsidR="005D0DD4">
              <w:rPr>
                <w:rFonts w:eastAsia="Arial"/>
                <w:b/>
                <w:i/>
                <w:sz w:val="28"/>
                <w:szCs w:val="24"/>
                <w:lang w:bidi="en-US"/>
              </w:rPr>
              <w:t>/</w:t>
            </w:r>
            <w:r w:rsidRPr="006D6DB5">
              <w:rPr>
                <w:rFonts w:eastAsia="Arial"/>
                <w:b/>
                <w:i/>
                <w:sz w:val="28"/>
                <w:szCs w:val="24"/>
                <w:lang w:bidi="en-US"/>
              </w:rPr>
              <w:t>V</w:t>
            </w:r>
            <w:r w:rsidR="005D0DD4">
              <w:rPr>
                <w:rFonts w:eastAsia="Arial"/>
                <w:b/>
                <w:i/>
                <w:sz w:val="28"/>
                <w:szCs w:val="24"/>
                <w:lang w:bidi="en-US"/>
              </w:rPr>
              <w:t>9</w:t>
            </w:r>
            <w:r>
              <w:rPr>
                <w:rFonts w:eastAsia="Arial"/>
                <w:b/>
                <w:i/>
                <w:sz w:val="28"/>
                <w:szCs w:val="24"/>
                <w:lang w:bidi="en-US"/>
              </w:rPr>
              <w:t>)</w:t>
            </w:r>
          </w:p>
          <w:p w14:paraId="2054547D" w14:textId="77777777" w:rsidR="006D6DB5" w:rsidRDefault="006D6DB5" w:rsidP="005A7352">
            <w:pPr>
              <w:ind w:firstLine="0"/>
              <w:rPr>
                <w:b/>
                <w:color w:val="333333"/>
                <w:u w:val="single"/>
                <w:shd w:val="clear" w:color="auto" w:fill="FFFFFF"/>
              </w:rPr>
            </w:pPr>
          </w:p>
          <w:p w14:paraId="41C5A6FC" w14:textId="2EB67DCF" w:rsidR="004D6845" w:rsidRPr="002B28EA" w:rsidRDefault="006D6DB5" w:rsidP="005A7352">
            <w:pPr>
              <w:ind w:firstLine="0"/>
              <w:rPr>
                <w:b/>
                <w:sz w:val="22"/>
                <w:u w:val="single"/>
              </w:rPr>
            </w:pPr>
            <w:r w:rsidRPr="006D6DB5">
              <w:rPr>
                <w:b/>
                <w:szCs w:val="25"/>
              </w:rPr>
              <w:t>39715100-8</w:t>
            </w: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F8504" w14:textId="77777777" w:rsidR="00CB1B09" w:rsidRPr="00CB1B09" w:rsidRDefault="00CB1B09" w:rsidP="00CB1B09">
            <w:pPr>
              <w:pStyle w:val="a7"/>
              <w:ind w:right="176"/>
              <w:rPr>
                <w:color w:val="000000"/>
                <w:sz w:val="28"/>
                <w:u w:val="single"/>
                <w:lang w:val="uk-UA"/>
              </w:rPr>
            </w:pPr>
            <w:r w:rsidRPr="00CB1B09">
              <w:rPr>
                <w:color w:val="000000"/>
                <w:sz w:val="28"/>
                <w:u w:val="single"/>
                <w:lang w:val="uk-UA"/>
              </w:rPr>
              <w:t>Характеристики</w:t>
            </w:r>
          </w:p>
          <w:p w14:paraId="387E28CF" w14:textId="5FE41ECA" w:rsidR="006D6DB5" w:rsidRDefault="004D6845" w:rsidP="006D6DB5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4D6845">
              <w:rPr>
                <w:color w:val="000000"/>
                <w:sz w:val="28"/>
                <w:lang w:val="uk-UA"/>
              </w:rPr>
              <w:t xml:space="preserve">Артикул </w:t>
            </w:r>
            <w:r w:rsidR="006D6DB5" w:rsidRPr="006D6DB5">
              <w:rPr>
                <w:color w:val="000000"/>
                <w:sz w:val="28"/>
                <w:lang w:val="uk-UA"/>
              </w:rPr>
              <w:t>GBFU 50SIM</w:t>
            </w:r>
            <w:r w:rsidR="005D0DD4">
              <w:rPr>
                <w:color w:val="000000"/>
                <w:sz w:val="28"/>
                <w:lang w:val="uk-UA"/>
              </w:rPr>
              <w:t>/</w:t>
            </w:r>
            <w:r w:rsidR="006D6DB5" w:rsidRPr="006D6DB5">
              <w:rPr>
                <w:color w:val="000000"/>
                <w:sz w:val="28"/>
                <w:lang w:val="uk-UA"/>
              </w:rPr>
              <w:t>V</w:t>
            </w:r>
            <w:r w:rsidR="005D0DD4">
              <w:rPr>
                <w:color w:val="000000"/>
                <w:sz w:val="28"/>
                <w:lang w:val="uk-UA"/>
              </w:rPr>
              <w:t>9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</w:p>
          <w:p w14:paraId="460F9576" w14:textId="77777777" w:rsidR="00CB1B09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Тип установки: настінний</w:t>
            </w:r>
          </w:p>
          <w:p w14:paraId="0D0A0041" w14:textId="4E734F31" w:rsidR="00CB1B09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Спосіб монтажу: вертикальний/горизонтальний</w:t>
            </w:r>
          </w:p>
          <w:p w14:paraId="491375F1" w14:textId="14F7B97B" w:rsidR="00CB1B09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О</w:t>
            </w:r>
            <w:r w:rsidR="006D6DB5" w:rsidRPr="006D6DB5">
              <w:rPr>
                <w:color w:val="000000"/>
                <w:sz w:val="28"/>
                <w:lang w:val="uk-UA"/>
              </w:rPr>
              <w:t>б'єм</w:t>
            </w:r>
            <w:r>
              <w:rPr>
                <w:color w:val="000000"/>
                <w:sz w:val="28"/>
                <w:lang w:val="uk-UA"/>
              </w:rPr>
              <w:t xml:space="preserve">, л. </w:t>
            </w:r>
            <w:r w:rsidR="006D6DB5" w:rsidRPr="006D6DB5">
              <w:rPr>
                <w:color w:val="000000"/>
                <w:sz w:val="28"/>
                <w:lang w:val="uk-UA"/>
              </w:rPr>
              <w:t>: 50 л</w:t>
            </w:r>
            <w:r w:rsidR="00880611">
              <w:rPr>
                <w:color w:val="000000"/>
                <w:sz w:val="28"/>
                <w:lang w:val="uk-UA"/>
              </w:rPr>
              <w:t xml:space="preserve">. </w:t>
            </w:r>
            <w:r>
              <w:rPr>
                <w:color w:val="000000"/>
                <w:sz w:val="28"/>
                <w:lang w:val="uk-UA"/>
              </w:rPr>
              <w:t>Форма: кругла</w:t>
            </w:r>
          </w:p>
          <w:p w14:paraId="5580A64E" w14:textId="1A6D8DF1" w:rsidR="00CB1B09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Підводка труб: нижня</w:t>
            </w:r>
          </w:p>
          <w:p w14:paraId="77EB12F1" w14:textId="479C667A" w:rsidR="00CB1B09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CB1B09">
              <w:rPr>
                <w:color w:val="000000"/>
                <w:sz w:val="28"/>
                <w:lang w:val="uk-UA"/>
              </w:rPr>
              <w:t>Матеріал корпусу: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CB1B09">
              <w:rPr>
                <w:color w:val="000000"/>
                <w:sz w:val="28"/>
                <w:lang w:val="uk-UA"/>
              </w:rPr>
              <w:t>сталь</w:t>
            </w:r>
          </w:p>
          <w:p w14:paraId="1CB1A818" w14:textId="5E889213" w:rsidR="00CB1B09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CB1B09">
              <w:rPr>
                <w:color w:val="000000"/>
                <w:sz w:val="28"/>
                <w:lang w:val="uk-UA"/>
              </w:rPr>
              <w:t>Внутрішнє покриття бака:</w:t>
            </w:r>
            <w:r w:rsidR="003432D8">
              <w:rPr>
                <w:color w:val="000000"/>
                <w:sz w:val="28"/>
                <w:lang w:val="uk-UA"/>
              </w:rPr>
              <w:t xml:space="preserve"> </w:t>
            </w:r>
            <w:r w:rsidRPr="00CB1B09">
              <w:rPr>
                <w:color w:val="000000"/>
                <w:sz w:val="28"/>
                <w:lang w:val="uk-UA"/>
              </w:rPr>
              <w:t>емаль</w:t>
            </w:r>
          </w:p>
          <w:p w14:paraId="4455476A" w14:textId="38AE7267" w:rsidR="00CB1B09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Р</w:t>
            </w:r>
            <w:r w:rsidRPr="006D6DB5">
              <w:rPr>
                <w:color w:val="000000"/>
                <w:sz w:val="28"/>
                <w:lang w:val="uk-UA"/>
              </w:rPr>
              <w:t>озміри (</w:t>
            </w:r>
            <w:proofErr w:type="spellStart"/>
            <w:r w:rsidRPr="006D6DB5">
              <w:rPr>
                <w:color w:val="000000"/>
                <w:sz w:val="28"/>
                <w:lang w:val="uk-UA"/>
              </w:rPr>
              <w:t>ВxШxГ</w:t>
            </w:r>
            <w:proofErr w:type="spellEnd"/>
            <w:r w:rsidRPr="006D6DB5">
              <w:rPr>
                <w:color w:val="000000"/>
                <w:sz w:val="28"/>
                <w:lang w:val="uk-UA"/>
              </w:rPr>
              <w:t xml:space="preserve">): 596x454x461 </w:t>
            </w:r>
            <w:r w:rsidR="00194DB7">
              <w:rPr>
                <w:color w:val="000000"/>
                <w:sz w:val="28"/>
                <w:lang w:val="uk-UA"/>
              </w:rPr>
              <w:t>м</w:t>
            </w:r>
            <w:r w:rsidRPr="006D6DB5">
              <w:rPr>
                <w:color w:val="000000"/>
                <w:sz w:val="28"/>
                <w:lang w:val="uk-UA"/>
              </w:rPr>
              <w:t>м</w:t>
            </w:r>
            <w:r>
              <w:rPr>
                <w:color w:val="000000"/>
                <w:sz w:val="28"/>
                <w:lang w:val="uk-UA"/>
              </w:rPr>
              <w:t xml:space="preserve">                    </w:t>
            </w:r>
          </w:p>
          <w:p w14:paraId="4C8844E3" w14:textId="7AB78653" w:rsidR="00CB1B09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Колір: білий</w:t>
            </w:r>
            <w:r w:rsidR="00880611">
              <w:rPr>
                <w:color w:val="000000"/>
                <w:sz w:val="28"/>
                <w:lang w:val="uk-UA"/>
              </w:rPr>
              <w:t xml:space="preserve">. </w:t>
            </w:r>
            <w:r>
              <w:rPr>
                <w:color w:val="000000"/>
                <w:sz w:val="28"/>
                <w:lang w:val="uk-UA"/>
              </w:rPr>
              <w:t>Вага:, кг: 24</w:t>
            </w:r>
          </w:p>
          <w:p w14:paraId="6A40D775" w14:textId="53CB8750" w:rsidR="00CB1B09" w:rsidRDefault="00CB1B09" w:rsidP="00CB1B09">
            <w:pPr>
              <w:pStyle w:val="a7"/>
              <w:ind w:right="176"/>
              <w:rPr>
                <w:color w:val="000000"/>
                <w:sz w:val="28"/>
                <w:u w:val="single"/>
                <w:lang w:val="uk-UA"/>
              </w:rPr>
            </w:pPr>
            <w:r w:rsidRPr="00CB1B09">
              <w:rPr>
                <w:color w:val="000000"/>
                <w:sz w:val="28"/>
                <w:u w:val="single"/>
                <w:lang w:val="uk-UA"/>
              </w:rPr>
              <w:t>П</w:t>
            </w:r>
            <w:r w:rsidR="006D6DB5" w:rsidRPr="00CB1B09">
              <w:rPr>
                <w:color w:val="000000"/>
                <w:sz w:val="28"/>
                <w:u w:val="single"/>
                <w:lang w:val="uk-UA"/>
              </w:rPr>
              <w:t>отужність</w:t>
            </w:r>
            <w:r w:rsidRPr="00CB1B09">
              <w:rPr>
                <w:color w:val="000000"/>
                <w:sz w:val="28"/>
                <w:u w:val="single"/>
                <w:lang w:val="uk-UA"/>
              </w:rPr>
              <w:t>, енергоефективність</w:t>
            </w:r>
          </w:p>
          <w:p w14:paraId="5E4F5FEB" w14:textId="77777777" w:rsidR="003432D8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CB1B09">
              <w:rPr>
                <w:color w:val="000000"/>
                <w:sz w:val="28"/>
                <w:lang w:val="uk-UA"/>
              </w:rPr>
              <w:t>Потужність, Вт:</w:t>
            </w:r>
            <w:r w:rsidRPr="00CB1B09">
              <w:rPr>
                <w:color w:val="000000"/>
                <w:sz w:val="28"/>
                <w:lang w:val="uk-UA"/>
              </w:rPr>
              <w:tab/>
              <w:t>2</w:t>
            </w:r>
            <w:r w:rsidR="003432D8">
              <w:rPr>
                <w:color w:val="000000"/>
                <w:sz w:val="28"/>
                <w:lang w:val="uk-UA"/>
              </w:rPr>
              <w:t>000</w:t>
            </w:r>
          </w:p>
          <w:p w14:paraId="626AABFC" w14:textId="261F9257" w:rsidR="00CB1B09" w:rsidRPr="00CB1B09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CB1B09">
              <w:rPr>
                <w:color w:val="000000"/>
                <w:sz w:val="28"/>
                <w:lang w:val="uk-UA"/>
              </w:rPr>
              <w:t xml:space="preserve">Тип </w:t>
            </w:r>
            <w:proofErr w:type="spellStart"/>
            <w:r w:rsidRPr="00CB1B09">
              <w:rPr>
                <w:color w:val="000000"/>
                <w:sz w:val="28"/>
                <w:lang w:val="uk-UA"/>
              </w:rPr>
              <w:t>ТЕНа</w:t>
            </w:r>
            <w:proofErr w:type="spellEnd"/>
            <w:r w:rsidRPr="00CB1B09">
              <w:rPr>
                <w:color w:val="000000"/>
                <w:sz w:val="28"/>
                <w:lang w:val="uk-UA"/>
              </w:rPr>
              <w:t>:</w:t>
            </w:r>
            <w:r w:rsidRPr="00CB1B09">
              <w:rPr>
                <w:color w:val="000000"/>
                <w:sz w:val="28"/>
                <w:lang w:val="uk-UA"/>
              </w:rPr>
              <w:tab/>
              <w:t>сухий</w:t>
            </w:r>
          </w:p>
          <w:p w14:paraId="3154CBF9" w14:textId="45BDAC4F" w:rsidR="00CB1B09" w:rsidRPr="00CB1B09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CB1B09">
              <w:rPr>
                <w:color w:val="000000"/>
                <w:sz w:val="28"/>
                <w:lang w:val="uk-UA"/>
              </w:rPr>
              <w:t xml:space="preserve">Наявність 2-х незалежних </w:t>
            </w:r>
            <w:proofErr w:type="spellStart"/>
            <w:r w:rsidRPr="00CB1B09">
              <w:rPr>
                <w:color w:val="000000"/>
                <w:sz w:val="28"/>
                <w:lang w:val="uk-UA"/>
              </w:rPr>
              <w:t>ТЕНів</w:t>
            </w:r>
            <w:proofErr w:type="spellEnd"/>
            <w:r w:rsidRPr="00CB1B09">
              <w:rPr>
                <w:color w:val="000000"/>
                <w:sz w:val="28"/>
                <w:lang w:val="uk-UA"/>
              </w:rPr>
              <w:t>:</w:t>
            </w:r>
            <w:r w:rsidRPr="00CB1B09">
              <w:rPr>
                <w:color w:val="000000"/>
                <w:sz w:val="28"/>
                <w:lang w:val="uk-UA"/>
              </w:rPr>
              <w:tab/>
            </w:r>
            <w:r>
              <w:rPr>
                <w:color w:val="000000"/>
                <w:sz w:val="28"/>
                <w:lang w:val="uk-UA"/>
              </w:rPr>
              <w:t>є</w:t>
            </w:r>
          </w:p>
          <w:p w14:paraId="7D74AAE4" w14:textId="64EF9D09" w:rsidR="00194DB7" w:rsidRDefault="003432D8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CB1B09">
              <w:rPr>
                <w:color w:val="000000"/>
                <w:sz w:val="28"/>
                <w:lang w:val="uk-UA"/>
              </w:rPr>
              <w:t>Потужність</w:t>
            </w:r>
            <w:r>
              <w:rPr>
                <w:color w:val="000000"/>
                <w:sz w:val="28"/>
                <w:lang w:val="uk-UA"/>
              </w:rPr>
              <w:t xml:space="preserve"> нагрівального елементу(</w:t>
            </w:r>
            <w:proofErr w:type="spellStart"/>
            <w:r>
              <w:rPr>
                <w:color w:val="000000"/>
                <w:sz w:val="28"/>
                <w:lang w:val="uk-UA"/>
              </w:rPr>
              <w:t>ТЕНа</w:t>
            </w:r>
            <w:proofErr w:type="spellEnd"/>
            <w:r>
              <w:rPr>
                <w:color w:val="000000"/>
                <w:sz w:val="28"/>
                <w:lang w:val="uk-UA"/>
              </w:rPr>
              <w:t>)</w:t>
            </w:r>
            <w:r w:rsidRPr="00CB1B09">
              <w:rPr>
                <w:color w:val="000000"/>
                <w:sz w:val="28"/>
                <w:lang w:val="uk-UA"/>
              </w:rPr>
              <w:t xml:space="preserve"> Вт:2</w:t>
            </w:r>
            <w:r>
              <w:rPr>
                <w:color w:val="000000"/>
                <w:sz w:val="28"/>
                <w:lang w:val="uk-UA"/>
              </w:rPr>
              <w:t>х1000/1000 Вт</w:t>
            </w:r>
            <w:r w:rsidR="00880611">
              <w:rPr>
                <w:color w:val="000000"/>
                <w:sz w:val="28"/>
                <w:lang w:val="uk-UA"/>
              </w:rPr>
              <w:t xml:space="preserve">. </w:t>
            </w:r>
            <w:r w:rsidR="00194DB7">
              <w:rPr>
                <w:color w:val="000000"/>
                <w:sz w:val="28"/>
                <w:lang w:val="uk-UA"/>
              </w:rPr>
              <w:t>Робочий тиск: 9 бар</w:t>
            </w:r>
          </w:p>
          <w:p w14:paraId="1EA37B97" w14:textId="38A718F1" w:rsidR="003432D8" w:rsidRPr="005D0DD4" w:rsidRDefault="005D0DD4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Клас захисту бойлера: </w:t>
            </w:r>
            <w:r>
              <w:rPr>
                <w:color w:val="000000"/>
                <w:sz w:val="28"/>
                <w:lang w:val="en-US"/>
              </w:rPr>
              <w:t>IP</w:t>
            </w:r>
            <w:r w:rsidRPr="005D0DD4">
              <w:rPr>
                <w:color w:val="000000"/>
                <w:sz w:val="28"/>
              </w:rPr>
              <w:t>24</w:t>
            </w:r>
          </w:p>
          <w:p w14:paraId="1D21D8BD" w14:textId="25481231" w:rsidR="00CB1B09" w:rsidRPr="00CB1B09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CB1B09">
              <w:rPr>
                <w:color w:val="000000"/>
                <w:sz w:val="28"/>
                <w:lang w:val="uk-UA"/>
              </w:rPr>
              <w:t>Живлення, В: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CB1B09">
              <w:rPr>
                <w:color w:val="000000"/>
                <w:sz w:val="28"/>
                <w:lang w:val="uk-UA"/>
              </w:rPr>
              <w:t>220</w:t>
            </w:r>
            <w:r w:rsidR="005D0DD4">
              <w:rPr>
                <w:color w:val="000000"/>
                <w:sz w:val="28"/>
                <w:lang w:val="uk-UA"/>
              </w:rPr>
              <w:t>-230</w:t>
            </w:r>
          </w:p>
          <w:p w14:paraId="368496DD" w14:textId="19460515" w:rsidR="00CB1B09" w:rsidRPr="00CB1B09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CB1B09">
              <w:rPr>
                <w:color w:val="000000"/>
                <w:sz w:val="28"/>
                <w:lang w:val="uk-UA"/>
              </w:rPr>
              <w:t>Час нагріву, г: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CB1B09">
              <w:rPr>
                <w:color w:val="000000"/>
                <w:sz w:val="28"/>
                <w:lang w:val="uk-UA"/>
              </w:rPr>
              <w:t>1:00 55 хв від 15С до 75С</w:t>
            </w:r>
          </w:p>
          <w:p w14:paraId="4212FA7A" w14:textId="58EEB9B1" w:rsidR="00CB1B09" w:rsidRDefault="00CB1B09" w:rsidP="00CB1B09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CB1B09">
              <w:rPr>
                <w:color w:val="000000"/>
                <w:sz w:val="28"/>
                <w:lang w:val="uk-UA"/>
              </w:rPr>
              <w:t>Максимальна температура, C: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CB1B09">
              <w:rPr>
                <w:color w:val="000000"/>
                <w:sz w:val="28"/>
                <w:lang w:val="uk-UA"/>
              </w:rPr>
              <w:t>75</w:t>
            </w:r>
          </w:p>
          <w:p w14:paraId="7F14F158" w14:textId="50C54A42" w:rsidR="003432D8" w:rsidRDefault="003432D8" w:rsidP="00CB1B09">
            <w:pPr>
              <w:pStyle w:val="a7"/>
              <w:ind w:right="176"/>
              <w:rPr>
                <w:color w:val="000000"/>
                <w:sz w:val="28"/>
                <w:u w:val="single"/>
                <w:lang w:val="uk-UA"/>
              </w:rPr>
            </w:pPr>
            <w:r w:rsidRPr="003432D8">
              <w:rPr>
                <w:color w:val="000000"/>
                <w:sz w:val="28"/>
                <w:u w:val="single"/>
                <w:lang w:val="uk-UA"/>
              </w:rPr>
              <w:t>Оснащення</w:t>
            </w:r>
          </w:p>
          <w:p w14:paraId="31931913" w14:textId="77777777" w:rsidR="003432D8" w:rsidRPr="003432D8" w:rsidRDefault="003432D8" w:rsidP="003432D8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3432D8">
              <w:rPr>
                <w:color w:val="000000"/>
                <w:sz w:val="28"/>
                <w:lang w:val="uk-UA"/>
              </w:rPr>
              <w:t>Керування:</w:t>
            </w:r>
            <w:r w:rsidRPr="003432D8">
              <w:rPr>
                <w:color w:val="000000"/>
                <w:sz w:val="28"/>
                <w:lang w:val="uk-UA"/>
              </w:rPr>
              <w:tab/>
              <w:t>механічне</w:t>
            </w:r>
          </w:p>
          <w:p w14:paraId="7335ABDE" w14:textId="7FCCE8C2" w:rsidR="003432D8" w:rsidRDefault="003432D8" w:rsidP="003432D8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3432D8">
              <w:rPr>
                <w:color w:val="000000"/>
                <w:sz w:val="28"/>
                <w:lang w:val="uk-UA"/>
              </w:rPr>
              <w:t>Індикатори:</w:t>
            </w:r>
            <w:r w:rsidRPr="003432D8">
              <w:rPr>
                <w:color w:val="000000"/>
                <w:sz w:val="28"/>
                <w:lang w:val="uk-UA"/>
              </w:rPr>
              <w:tab/>
              <w:t>світловий індикатор</w:t>
            </w:r>
          </w:p>
          <w:p w14:paraId="20BCEF86" w14:textId="77777777" w:rsidR="00194DB7" w:rsidRDefault="00194DB7" w:rsidP="00194DB7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Регулятор температури: відкритий (на корпусі)</w:t>
            </w:r>
          </w:p>
          <w:p w14:paraId="6D0F45CD" w14:textId="77777777" w:rsidR="003432D8" w:rsidRPr="003432D8" w:rsidRDefault="003432D8" w:rsidP="003432D8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3432D8">
              <w:rPr>
                <w:color w:val="000000"/>
                <w:sz w:val="28"/>
                <w:lang w:val="uk-UA"/>
              </w:rPr>
              <w:t>Магнієвий анод:</w:t>
            </w:r>
            <w:r w:rsidRPr="003432D8">
              <w:rPr>
                <w:color w:val="000000"/>
                <w:sz w:val="28"/>
                <w:lang w:val="uk-UA"/>
              </w:rPr>
              <w:tab/>
              <w:t>є</w:t>
            </w:r>
          </w:p>
          <w:p w14:paraId="5BF52CCC" w14:textId="34309147" w:rsidR="003432D8" w:rsidRPr="003432D8" w:rsidRDefault="003432D8" w:rsidP="003432D8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3432D8">
              <w:rPr>
                <w:color w:val="000000"/>
                <w:sz w:val="28"/>
                <w:lang w:val="uk-UA"/>
              </w:rPr>
              <w:t>Функція прискореного нагріву: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 w:rsidRPr="003432D8">
              <w:rPr>
                <w:color w:val="000000"/>
                <w:sz w:val="28"/>
                <w:lang w:val="uk-UA"/>
              </w:rPr>
              <w:t>є</w:t>
            </w:r>
          </w:p>
          <w:p w14:paraId="56A3D6DB" w14:textId="454A4CDB" w:rsidR="003F4687" w:rsidRDefault="003F4687" w:rsidP="00C1655E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Комплектація – </w:t>
            </w:r>
            <w:r w:rsidR="00194DB7">
              <w:rPr>
                <w:color w:val="000000"/>
                <w:sz w:val="28"/>
                <w:lang w:val="uk-UA"/>
              </w:rPr>
              <w:t>бойлер</w:t>
            </w:r>
            <w:r>
              <w:rPr>
                <w:color w:val="000000"/>
                <w:sz w:val="28"/>
                <w:lang w:val="uk-UA"/>
              </w:rPr>
              <w:t>, коробка, інструкції, монтажні елементи, гарантійний талон</w:t>
            </w:r>
          </w:p>
          <w:p w14:paraId="21ACE086" w14:textId="2374A4F0" w:rsidR="005D0DD4" w:rsidRPr="005D0DD4" w:rsidRDefault="005D0DD4" w:rsidP="00C1655E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 w:rsidRPr="005D0DD4">
              <w:rPr>
                <w:color w:val="000000"/>
                <w:sz w:val="28"/>
                <w:lang w:val="uk-UA"/>
              </w:rPr>
              <w:t>Гарантія на бак: 10 років(120 міс)</w:t>
            </w:r>
          </w:p>
          <w:p w14:paraId="66766A12" w14:textId="07B5EE6F" w:rsidR="004D6845" w:rsidRDefault="005D0DD4" w:rsidP="00880611">
            <w:pPr>
              <w:pStyle w:val="a7"/>
              <w:ind w:right="176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Гарантія на ТЕН: 24 міс.</w:t>
            </w:r>
            <w:r w:rsidR="004D6845" w:rsidRPr="004D6845">
              <w:rPr>
                <w:color w:val="000000"/>
                <w:sz w:val="28"/>
                <w:lang w:val="uk-UA"/>
              </w:rPr>
              <w:t xml:space="preserve"> </w:t>
            </w:r>
            <w:r w:rsidR="004D6845">
              <w:rPr>
                <w:color w:val="000000"/>
                <w:sz w:val="28"/>
                <w:lang w:val="uk-UA"/>
              </w:rPr>
              <w:t xml:space="preserve">                             </w:t>
            </w:r>
          </w:p>
        </w:tc>
      </w:tr>
    </w:tbl>
    <w:p w14:paraId="363154FA" w14:textId="77777777" w:rsidR="000228CA" w:rsidRDefault="00C57F04" w:rsidP="00815C0D">
      <w:pPr>
        <w:widowControl w:val="0"/>
        <w:suppressAutoHyphens/>
        <w:autoSpaceDE w:val="0"/>
        <w:ind w:firstLine="0"/>
        <w:jc w:val="center"/>
        <w:rPr>
          <w:bCs/>
          <w:szCs w:val="24"/>
          <w:u w:val="single"/>
          <w:lang w:bidi="en-US"/>
        </w:rPr>
      </w:pPr>
      <w:r w:rsidRPr="00E928EA">
        <w:rPr>
          <w:bCs/>
          <w:szCs w:val="24"/>
          <w:u w:val="single"/>
          <w:lang w:bidi="en-US"/>
        </w:rPr>
        <w:t>Інші умови:</w:t>
      </w:r>
    </w:p>
    <w:p w14:paraId="1D95CC6B" w14:textId="09FF9CCA" w:rsidR="00447731" w:rsidRPr="00447731" w:rsidRDefault="0069160A" w:rsidP="00447731">
      <w:pPr>
        <w:pStyle w:val="a6"/>
        <w:widowControl w:val="0"/>
        <w:numPr>
          <w:ilvl w:val="0"/>
          <w:numId w:val="3"/>
        </w:numPr>
        <w:suppressAutoHyphens/>
        <w:autoSpaceDE w:val="0"/>
        <w:rPr>
          <w:bCs/>
          <w:szCs w:val="24"/>
          <w:lang w:bidi="en-US"/>
        </w:rPr>
      </w:pPr>
      <w:r w:rsidRPr="00767AC4">
        <w:rPr>
          <w:szCs w:val="24"/>
        </w:rPr>
        <w:t>Доставка Товару за рахунок Постачальника</w:t>
      </w:r>
      <w:r w:rsidR="00447731">
        <w:rPr>
          <w:szCs w:val="24"/>
        </w:rPr>
        <w:t xml:space="preserve"> на адрес</w:t>
      </w:r>
      <w:r w:rsidR="00194DB7">
        <w:rPr>
          <w:szCs w:val="24"/>
        </w:rPr>
        <w:t>у</w:t>
      </w:r>
      <w:r w:rsidR="00447731">
        <w:rPr>
          <w:szCs w:val="24"/>
        </w:rPr>
        <w:t>:</w:t>
      </w:r>
    </w:p>
    <w:p w14:paraId="16CFF74C" w14:textId="28E2CCC9" w:rsidR="00447731" w:rsidRPr="00447731" w:rsidRDefault="00447731" w:rsidP="00447731">
      <w:pPr>
        <w:pStyle w:val="a6"/>
        <w:widowControl w:val="0"/>
        <w:numPr>
          <w:ilvl w:val="0"/>
          <w:numId w:val="4"/>
        </w:numPr>
        <w:suppressAutoHyphens/>
        <w:autoSpaceDE w:val="0"/>
        <w:rPr>
          <w:bCs/>
          <w:szCs w:val="24"/>
          <w:lang w:bidi="en-US"/>
        </w:rPr>
      </w:pPr>
      <w:r>
        <w:rPr>
          <w:szCs w:val="24"/>
        </w:rPr>
        <w:t xml:space="preserve"> </w:t>
      </w:r>
      <w:r w:rsidRPr="00447731">
        <w:rPr>
          <w:szCs w:val="24"/>
        </w:rPr>
        <w:t>04053, м. Київ</w:t>
      </w:r>
      <w:r>
        <w:rPr>
          <w:szCs w:val="24"/>
        </w:rPr>
        <w:t xml:space="preserve">, вул. Січових Стрільців 51/50.  </w:t>
      </w:r>
    </w:p>
    <w:p w14:paraId="434ECA98" w14:textId="22AAF05D" w:rsidR="0069160A" w:rsidRPr="00767AC4" w:rsidRDefault="0069160A" w:rsidP="003C7175">
      <w:pPr>
        <w:pStyle w:val="a6"/>
        <w:widowControl w:val="0"/>
        <w:numPr>
          <w:ilvl w:val="0"/>
          <w:numId w:val="3"/>
        </w:numPr>
        <w:suppressAutoHyphens/>
        <w:autoSpaceDE w:val="0"/>
        <w:spacing w:after="120"/>
        <w:ind w:left="0" w:firstLine="284"/>
      </w:pPr>
      <w:r w:rsidRPr="00767AC4">
        <w:t>Строки гарантії на поставлений товар повинні складати</w:t>
      </w:r>
      <w:r w:rsidR="001E282B" w:rsidRPr="00767AC4">
        <w:t xml:space="preserve"> не менше </w:t>
      </w:r>
      <w:r w:rsidR="003F4687">
        <w:t>12</w:t>
      </w:r>
      <w:r w:rsidRPr="00767AC4">
        <w:t xml:space="preserve"> місяців від дати </w:t>
      </w:r>
      <w:r w:rsidRPr="00767AC4">
        <w:lastRenderedPageBreak/>
        <w:t>підписання уповноваженими особами обох Сторін акту приймання-передавання товару в повному обсязі</w:t>
      </w:r>
      <w:r w:rsidR="005F2B48">
        <w:t>, на бак 10 років</w:t>
      </w:r>
      <w:r w:rsidR="00797868">
        <w:t xml:space="preserve"> </w:t>
      </w:r>
      <w:r w:rsidR="005F2B48">
        <w:t xml:space="preserve">, на </w:t>
      </w:r>
      <w:proofErr w:type="spellStart"/>
      <w:r w:rsidR="005F2B48">
        <w:t>ТЕНи</w:t>
      </w:r>
      <w:proofErr w:type="spellEnd"/>
      <w:r w:rsidR="005F2B48">
        <w:t xml:space="preserve"> – 24 місяця.</w:t>
      </w:r>
    </w:p>
    <w:p w14:paraId="40BEF499" w14:textId="77777777" w:rsidR="004D3AD5" w:rsidRPr="00F92A12" w:rsidRDefault="00BB11ED" w:rsidP="003C7175">
      <w:pPr>
        <w:pStyle w:val="a6"/>
        <w:widowControl w:val="0"/>
        <w:numPr>
          <w:ilvl w:val="0"/>
          <w:numId w:val="3"/>
        </w:numPr>
        <w:suppressAutoHyphens/>
        <w:autoSpaceDE w:val="0"/>
        <w:ind w:left="0" w:firstLine="284"/>
        <w:rPr>
          <w:bCs/>
          <w:szCs w:val="24"/>
          <w:lang w:bidi="en-US"/>
        </w:rPr>
      </w:pPr>
      <w:r w:rsidRPr="00D26394">
        <w:rPr>
          <w:b/>
          <w:szCs w:val="24"/>
          <w:lang w:bidi="en-US"/>
        </w:rPr>
        <w:t>У разі надання еквіваленту</w:t>
      </w:r>
      <w:r w:rsidR="004D3AD5" w:rsidRPr="00D26394">
        <w:rPr>
          <w:b/>
          <w:szCs w:val="24"/>
          <w:lang w:bidi="en-US"/>
        </w:rPr>
        <w:t>*</w:t>
      </w:r>
      <w:r w:rsidRPr="00D26394">
        <w:rPr>
          <w:b/>
          <w:szCs w:val="24"/>
          <w:lang w:bidi="en-US"/>
        </w:rPr>
        <w:t xml:space="preserve"> товару</w:t>
      </w:r>
      <w:r w:rsidRPr="00F92A12">
        <w:rPr>
          <w:bCs/>
          <w:szCs w:val="24"/>
          <w:lang w:bidi="en-US"/>
        </w:rPr>
        <w:t>, Учаснику необхідно підтвердити якість технічних характеристик у формі пояснювальної записки з обов'язковим зазначенням в ній порівняльних характеристик пропонованого еквівалента до того товару, який вказаний в технічному завданні Замовника. В результаті чого, характеристика запропонованого Постачальником еквівалента, повинна бути не гірше.</w:t>
      </w:r>
      <w:r w:rsidR="004D3AD5" w:rsidRPr="00F92A12">
        <w:rPr>
          <w:szCs w:val="24"/>
        </w:rPr>
        <w:t xml:space="preserve"> </w:t>
      </w:r>
    </w:p>
    <w:p w14:paraId="78BA6114" w14:textId="77777777" w:rsidR="00BB11ED" w:rsidRPr="00F92A12" w:rsidRDefault="004D3AD5" w:rsidP="004D3AD5">
      <w:pPr>
        <w:pStyle w:val="a6"/>
        <w:widowControl w:val="0"/>
        <w:suppressAutoHyphens/>
        <w:autoSpaceDE w:val="0"/>
        <w:ind w:left="0" w:firstLine="709"/>
        <w:rPr>
          <w:szCs w:val="24"/>
        </w:rPr>
      </w:pPr>
      <w:r w:rsidRPr="00F92A12">
        <w:rPr>
          <w:szCs w:val="24"/>
        </w:rPr>
        <w:t>Вимоги щодо надання учасниками пропозицій еквівалентів товару (частина четверта статті 14 Закону України «Про публічні закупівлі») стосуються лише тих еквівалентів, які зазначені у Додатку 2 до оголошення «Технічні вимоги». Виключення може бути лише в тому випадку, коли замовником еквівалент товару не конкретизований.</w:t>
      </w:r>
    </w:p>
    <w:p w14:paraId="212B31C1" w14:textId="77777777" w:rsidR="004D3AD5" w:rsidRPr="00F92A12" w:rsidRDefault="004D3AD5" w:rsidP="004D3AD5">
      <w:pPr>
        <w:spacing w:after="60"/>
        <w:ind w:left="34" w:firstLine="675"/>
        <w:rPr>
          <w:rFonts w:eastAsia="Times New Roman"/>
          <w:szCs w:val="24"/>
          <w:lang w:val="ru-RU"/>
        </w:rPr>
      </w:pPr>
      <w:r w:rsidRPr="00F92A12">
        <w:rPr>
          <w:szCs w:val="24"/>
        </w:rPr>
        <w:t>У разі, якщо замовником не зазначено еквівалентів, то будь-який інший товар запропонований учасником у складі пропозиції буде вважатися таким, що не відповідає умовам, визначеним в оголошенні про проведення спрощеної закупівлі, та вимогам до предмета закупівлі (пункт 1 частини тринадцять статті 14 Закону України «Про публічні закупівлі»).</w:t>
      </w:r>
    </w:p>
    <w:p w14:paraId="11208BC3" w14:textId="77777777" w:rsidR="004D3AD5" w:rsidRPr="00F92A12" w:rsidRDefault="004D3AD5" w:rsidP="004D3AD5">
      <w:pPr>
        <w:pStyle w:val="a6"/>
        <w:widowControl w:val="0"/>
        <w:suppressAutoHyphens/>
        <w:autoSpaceDE w:val="0"/>
        <w:ind w:firstLine="0"/>
        <w:rPr>
          <w:bCs/>
          <w:szCs w:val="24"/>
          <w:lang w:val="ru-RU" w:bidi="en-US"/>
        </w:rPr>
      </w:pPr>
    </w:p>
    <w:p w14:paraId="289E78BB" w14:textId="77777777" w:rsidR="002B6568" w:rsidRPr="00D26394" w:rsidRDefault="00BB11ED" w:rsidP="00BB11ED">
      <w:pPr>
        <w:widowControl w:val="0"/>
        <w:suppressAutoHyphens/>
        <w:autoSpaceDE w:val="0"/>
        <w:ind w:firstLine="0"/>
        <w:rPr>
          <w:b/>
          <w:szCs w:val="24"/>
          <w:lang w:bidi="en-US"/>
        </w:rPr>
      </w:pPr>
      <w:r w:rsidRPr="00D26394">
        <w:rPr>
          <w:b/>
          <w:szCs w:val="24"/>
          <w:lang w:bidi="en-US"/>
        </w:rPr>
        <w:t>* В місцях де технічна специфікація містить посилання на конкретні торгівельні марки чи фірму, патент, конструкцію або тип предмета закупівлі, джерело його походження або виробника, вважати вираз «або еквівалент».</w:t>
      </w:r>
    </w:p>
    <w:p w14:paraId="628A5CF2" w14:textId="77777777" w:rsidR="00C57F04" w:rsidRPr="00F92A12" w:rsidRDefault="00C57F04" w:rsidP="00C57F04">
      <w:pPr>
        <w:rPr>
          <w:szCs w:val="24"/>
        </w:rPr>
      </w:pPr>
    </w:p>
    <w:p w14:paraId="711CA6E6" w14:textId="77777777" w:rsidR="00C57F04" w:rsidRDefault="00C57F04" w:rsidP="00BB11ED">
      <w:pPr>
        <w:widowControl w:val="0"/>
        <w:suppressAutoHyphens/>
        <w:autoSpaceDE w:val="0"/>
        <w:ind w:firstLine="0"/>
      </w:pPr>
    </w:p>
    <w:sectPr w:rsidR="00C57F04" w:rsidSect="006E4F3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D06"/>
    <w:multiLevelType w:val="hybridMultilevel"/>
    <w:tmpl w:val="00A4DB3C"/>
    <w:lvl w:ilvl="0" w:tplc="6CFC9B0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71BAE"/>
    <w:multiLevelType w:val="hybridMultilevel"/>
    <w:tmpl w:val="D9FC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16BD6"/>
    <w:multiLevelType w:val="hybridMultilevel"/>
    <w:tmpl w:val="BB5A203C"/>
    <w:lvl w:ilvl="0" w:tplc="D6EEE41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C3E13"/>
    <w:multiLevelType w:val="hybridMultilevel"/>
    <w:tmpl w:val="556EB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0518278">
    <w:abstractNumId w:val="2"/>
  </w:num>
  <w:num w:numId="2" w16cid:durableId="1307970568">
    <w:abstractNumId w:val="1"/>
  </w:num>
  <w:num w:numId="3" w16cid:durableId="590745629">
    <w:abstractNumId w:val="3"/>
  </w:num>
  <w:num w:numId="4" w16cid:durableId="115390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A3"/>
    <w:rsid w:val="00003893"/>
    <w:rsid w:val="000106DE"/>
    <w:rsid w:val="00015C61"/>
    <w:rsid w:val="000209EC"/>
    <w:rsid w:val="000228CA"/>
    <w:rsid w:val="00062576"/>
    <w:rsid w:val="000D064B"/>
    <w:rsid w:val="001073B8"/>
    <w:rsid w:val="00125F45"/>
    <w:rsid w:val="00145110"/>
    <w:rsid w:val="00155D4C"/>
    <w:rsid w:val="00194DB7"/>
    <w:rsid w:val="001D09BF"/>
    <w:rsid w:val="001D4F82"/>
    <w:rsid w:val="001E282B"/>
    <w:rsid w:val="00224CB2"/>
    <w:rsid w:val="00271081"/>
    <w:rsid w:val="002B28EA"/>
    <w:rsid w:val="002B6568"/>
    <w:rsid w:val="002D1028"/>
    <w:rsid w:val="003317B7"/>
    <w:rsid w:val="003432D8"/>
    <w:rsid w:val="003575C4"/>
    <w:rsid w:val="003803A9"/>
    <w:rsid w:val="003C5D02"/>
    <w:rsid w:val="003C7175"/>
    <w:rsid w:val="003F4687"/>
    <w:rsid w:val="00406BF1"/>
    <w:rsid w:val="004376E6"/>
    <w:rsid w:val="004424E9"/>
    <w:rsid w:val="00447731"/>
    <w:rsid w:val="00452161"/>
    <w:rsid w:val="004721AB"/>
    <w:rsid w:val="00495AAD"/>
    <w:rsid w:val="004B4AB0"/>
    <w:rsid w:val="004D3AD5"/>
    <w:rsid w:val="004D6845"/>
    <w:rsid w:val="004D7092"/>
    <w:rsid w:val="0050588F"/>
    <w:rsid w:val="00514B6F"/>
    <w:rsid w:val="00577861"/>
    <w:rsid w:val="00583E8E"/>
    <w:rsid w:val="005944D8"/>
    <w:rsid w:val="005A0BA9"/>
    <w:rsid w:val="005A7352"/>
    <w:rsid w:val="005D0DD4"/>
    <w:rsid w:val="005F2B48"/>
    <w:rsid w:val="00604D30"/>
    <w:rsid w:val="00612A4B"/>
    <w:rsid w:val="0069160A"/>
    <w:rsid w:val="006B026F"/>
    <w:rsid w:val="006D6DB5"/>
    <w:rsid w:val="006E4F3C"/>
    <w:rsid w:val="00732688"/>
    <w:rsid w:val="00767AC4"/>
    <w:rsid w:val="007809FA"/>
    <w:rsid w:val="00784450"/>
    <w:rsid w:val="00797868"/>
    <w:rsid w:val="007A449D"/>
    <w:rsid w:val="007F3546"/>
    <w:rsid w:val="00815C0D"/>
    <w:rsid w:val="00880611"/>
    <w:rsid w:val="00887DA3"/>
    <w:rsid w:val="008B7F94"/>
    <w:rsid w:val="008D5E66"/>
    <w:rsid w:val="008E0F31"/>
    <w:rsid w:val="0096216E"/>
    <w:rsid w:val="009A0DA4"/>
    <w:rsid w:val="009A1E17"/>
    <w:rsid w:val="00A36281"/>
    <w:rsid w:val="00A40475"/>
    <w:rsid w:val="00A52E66"/>
    <w:rsid w:val="00A54041"/>
    <w:rsid w:val="00A556B7"/>
    <w:rsid w:val="00A61E58"/>
    <w:rsid w:val="00A97723"/>
    <w:rsid w:val="00AE19B0"/>
    <w:rsid w:val="00AF4F09"/>
    <w:rsid w:val="00B55027"/>
    <w:rsid w:val="00B675FC"/>
    <w:rsid w:val="00B75011"/>
    <w:rsid w:val="00B900EE"/>
    <w:rsid w:val="00BB11ED"/>
    <w:rsid w:val="00BB5230"/>
    <w:rsid w:val="00BB7811"/>
    <w:rsid w:val="00C1655E"/>
    <w:rsid w:val="00C3013E"/>
    <w:rsid w:val="00C57F04"/>
    <w:rsid w:val="00C917A7"/>
    <w:rsid w:val="00CB1B09"/>
    <w:rsid w:val="00CD15A2"/>
    <w:rsid w:val="00D26394"/>
    <w:rsid w:val="00D41B74"/>
    <w:rsid w:val="00D950AB"/>
    <w:rsid w:val="00DE0537"/>
    <w:rsid w:val="00E662C1"/>
    <w:rsid w:val="00E928EA"/>
    <w:rsid w:val="00EE6A3F"/>
    <w:rsid w:val="00EF1360"/>
    <w:rsid w:val="00EF78F3"/>
    <w:rsid w:val="00F678C8"/>
    <w:rsid w:val="00F70CAA"/>
    <w:rsid w:val="00F92A12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9F3"/>
  <w15:chartTrackingRefBased/>
  <w15:docId w15:val="{A4B89B3A-032D-4A2E-B123-89FFAA2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DA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1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3E"/>
    <w:rPr>
      <w:rFonts w:ascii="Segoe UI" w:eastAsia="Calibr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semiHidden/>
    <w:unhideWhenUsed/>
    <w:rsid w:val="002B28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7F04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5A7352"/>
    <w:pPr>
      <w:suppressLineNumbers/>
      <w:suppressAutoHyphens/>
      <w:ind w:firstLine="0"/>
      <w:jc w:val="left"/>
    </w:pPr>
    <w:rPr>
      <w:rFonts w:ascii="Liberation Serif" w:eastAsia="Noto Serif CJK SC" w:hAnsi="Liberation Serif" w:cs="Lohit Devanagari"/>
      <w:kern w:val="2"/>
      <w:szCs w:val="24"/>
      <w:lang w:val="ru-RU"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155D4C"/>
    <w:pPr>
      <w:ind w:left="240" w:hanging="240"/>
    </w:pPr>
  </w:style>
  <w:style w:type="paragraph" w:styleId="a8">
    <w:name w:val="index heading"/>
    <w:basedOn w:val="a"/>
    <w:qFormat/>
    <w:rsid w:val="00155D4C"/>
    <w:pPr>
      <w:suppressLineNumbers/>
      <w:suppressAutoHyphens/>
      <w:ind w:firstLine="0"/>
      <w:jc w:val="left"/>
    </w:pPr>
    <w:rPr>
      <w:rFonts w:ascii="Liberation Serif" w:eastAsia="Noto Serif CJK SC" w:hAnsi="Liberation Serif" w:cs="Lohit Devanagari"/>
      <w:kern w:val="2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</dc:creator>
  <cp:keywords/>
  <dc:description/>
  <cp:lastModifiedBy>Kubic</cp:lastModifiedBy>
  <cp:revision>7</cp:revision>
  <cp:lastPrinted>2022-08-05T13:26:00Z</cp:lastPrinted>
  <dcterms:created xsi:type="dcterms:W3CDTF">2022-08-05T12:50:00Z</dcterms:created>
  <dcterms:modified xsi:type="dcterms:W3CDTF">2022-08-11T11:26:00Z</dcterms:modified>
</cp:coreProperties>
</file>