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Pr="00217CBE" w:rsidRDefault="00BD1386" w:rsidP="00BD1386">
      <w:pPr>
        <w:spacing w:after="0" w:line="240" w:lineRule="auto"/>
        <w:ind w:left="5660" w:firstLine="700"/>
        <w:jc w:val="right"/>
        <w:rPr>
          <w:rFonts w:ascii="Times New Roman" w:eastAsia="Times New Roman" w:hAnsi="Times New Roman" w:cs="Times New Roman"/>
          <w:sz w:val="24"/>
          <w:szCs w:val="24"/>
        </w:rPr>
      </w:pPr>
      <w:r w:rsidRPr="00217CBE">
        <w:rPr>
          <w:rFonts w:ascii="Times New Roman" w:eastAsia="Times New Roman" w:hAnsi="Times New Roman" w:cs="Times New Roman"/>
          <w:b/>
          <w:color w:val="000000"/>
          <w:sz w:val="24"/>
          <w:szCs w:val="24"/>
        </w:rPr>
        <w:t>ДОДАТОК 2</w:t>
      </w:r>
    </w:p>
    <w:p w:rsidR="00BD1386" w:rsidRDefault="00BD1386" w:rsidP="00BD1386">
      <w:pPr>
        <w:spacing w:after="0" w:line="240" w:lineRule="auto"/>
        <w:ind w:left="5660" w:firstLine="700"/>
        <w:jc w:val="right"/>
        <w:rPr>
          <w:rFonts w:ascii="Times New Roman" w:eastAsia="Times New Roman" w:hAnsi="Times New Roman" w:cs="Times New Roman"/>
          <w:i/>
          <w:color w:val="000000"/>
          <w:sz w:val="24"/>
          <w:szCs w:val="24"/>
        </w:rPr>
      </w:pPr>
      <w:r w:rsidRPr="00217CBE">
        <w:rPr>
          <w:rFonts w:ascii="Times New Roman" w:eastAsia="Times New Roman" w:hAnsi="Times New Roman" w:cs="Times New Roman"/>
          <w:i/>
          <w:color w:val="000000"/>
          <w:sz w:val="24"/>
          <w:szCs w:val="24"/>
        </w:rPr>
        <w:t>до тендерної документації</w:t>
      </w:r>
    </w:p>
    <w:p w:rsidR="001C673A" w:rsidRPr="007D6A5F" w:rsidRDefault="001C673A" w:rsidP="007D6A5F">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7D6A5F">
        <w:rPr>
          <w:rFonts w:ascii="Times New Roman" w:eastAsia="Times New Roman" w:hAnsi="Times New Roman" w:cs="Times New Roman"/>
          <w:b/>
          <w:bCs/>
          <w:i/>
          <w:iCs/>
          <w:color w:val="000000"/>
          <w:sz w:val="24"/>
          <w:szCs w:val="24"/>
          <w:shd w:val="clear" w:color="auto" w:fill="FFFFFF"/>
        </w:rPr>
        <w:t xml:space="preserve">Інформація про необхідні технічні, якісні та кількісні характеристики предмета закупівлі </w:t>
      </w:r>
    </w:p>
    <w:p w:rsidR="007D6A5F" w:rsidRPr="007D6A5F" w:rsidRDefault="007D6A5F" w:rsidP="007D6A5F">
      <w:pPr>
        <w:spacing w:line="240" w:lineRule="auto"/>
        <w:jc w:val="center"/>
        <w:rPr>
          <w:rFonts w:ascii="Times New Roman" w:hAnsi="Times New Roman" w:cs="Times New Roman"/>
          <w:b/>
          <w:sz w:val="24"/>
          <w:szCs w:val="24"/>
        </w:rPr>
      </w:pPr>
      <w:r w:rsidRPr="007D6A5F">
        <w:rPr>
          <w:rFonts w:ascii="Times New Roman" w:hAnsi="Times New Roman" w:cs="Times New Roman"/>
          <w:b/>
          <w:sz w:val="24"/>
          <w:szCs w:val="24"/>
        </w:rPr>
        <w:t>Технічна специфікація</w:t>
      </w:r>
    </w:p>
    <w:p w:rsidR="007D6A5F" w:rsidRPr="007D6A5F" w:rsidRDefault="007D6A5F" w:rsidP="007D6A5F">
      <w:pPr>
        <w:spacing w:line="240" w:lineRule="auto"/>
        <w:jc w:val="center"/>
        <w:rPr>
          <w:rFonts w:ascii="Times New Roman" w:hAnsi="Times New Roman" w:cs="Times New Roman"/>
          <w:b/>
          <w:sz w:val="24"/>
          <w:szCs w:val="24"/>
        </w:rPr>
      </w:pPr>
      <w:r w:rsidRPr="007D6A5F">
        <w:rPr>
          <w:rFonts w:ascii="Times New Roman" w:hAnsi="Times New Roman" w:cs="Times New Roman"/>
          <w:b/>
          <w:sz w:val="24"/>
          <w:szCs w:val="24"/>
        </w:rPr>
        <w:t>згідно предмету закупівлі:</w:t>
      </w:r>
      <w:r w:rsidRPr="007D6A5F">
        <w:rPr>
          <w:rFonts w:ascii="Times New Roman" w:eastAsia="SimSun" w:hAnsi="Times New Roman" w:cs="Times New Roman"/>
          <w:bCs/>
          <w:sz w:val="24"/>
          <w:szCs w:val="24"/>
          <w:lang/>
        </w:rPr>
        <w:t xml:space="preserve"> </w:t>
      </w:r>
    </w:p>
    <w:p w:rsidR="007D6A5F" w:rsidRPr="007D6A5F" w:rsidRDefault="007D6A5F" w:rsidP="007D6A5F">
      <w:pPr>
        <w:spacing w:line="240" w:lineRule="auto"/>
        <w:jc w:val="center"/>
        <w:rPr>
          <w:rFonts w:ascii="Times New Roman" w:hAnsi="Times New Roman" w:cs="Times New Roman"/>
          <w:sz w:val="24"/>
          <w:szCs w:val="24"/>
        </w:rPr>
      </w:pPr>
      <w:r w:rsidRPr="007D6A5F">
        <w:rPr>
          <w:rFonts w:ascii="Times New Roman" w:hAnsi="Times New Roman" w:cs="Times New Roman"/>
          <w:b/>
          <w:sz w:val="24"/>
          <w:szCs w:val="24"/>
        </w:rPr>
        <w:t>Постачання програмної продукції «Лабораторна інформаційна система» у вигляді окремого програмного продукту або спеціалізованого модуля у складі медичної інформаційної системи з впровадженням системи та інтеграцією медичного обладнання</w:t>
      </w:r>
      <w:r w:rsidRPr="007D6A5F">
        <w:rPr>
          <w:rFonts w:ascii="Times New Roman" w:hAnsi="Times New Roman" w:cs="Times New Roman"/>
          <w:sz w:val="24"/>
          <w:szCs w:val="24"/>
        </w:rPr>
        <w:t xml:space="preserve">  (Код </w:t>
      </w:r>
      <w:proofErr w:type="spellStart"/>
      <w:r w:rsidRPr="007D6A5F">
        <w:rPr>
          <w:rFonts w:ascii="Times New Roman" w:hAnsi="Times New Roman" w:cs="Times New Roman"/>
          <w:sz w:val="24"/>
          <w:szCs w:val="24"/>
        </w:rPr>
        <w:t>ДК</w:t>
      </w:r>
      <w:proofErr w:type="spellEnd"/>
      <w:r w:rsidRPr="007D6A5F">
        <w:rPr>
          <w:rFonts w:ascii="Times New Roman" w:hAnsi="Times New Roman" w:cs="Times New Roman"/>
          <w:sz w:val="24"/>
          <w:szCs w:val="24"/>
        </w:rPr>
        <w:t xml:space="preserve"> 021:2015 «Єдиний закупівельний словник  - 48810000-9: Інформаційні системи)</w:t>
      </w:r>
    </w:p>
    <w:tbl>
      <w:tblPr>
        <w:tblW w:w="9060" w:type="dxa"/>
        <w:jc w:val="center"/>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
        <w:gridCol w:w="4988"/>
        <w:gridCol w:w="1774"/>
        <w:gridCol w:w="1649"/>
      </w:tblGrid>
      <w:tr w:rsidR="007D6A5F" w:rsidRPr="007D6A5F" w:rsidTr="005A322D">
        <w:trPr>
          <w:trHeight w:val="1012"/>
          <w:jc w:val="center"/>
        </w:trPr>
        <w:tc>
          <w:tcPr>
            <w:tcW w:w="649" w:type="dxa"/>
            <w:tcBorders>
              <w:top w:val="single" w:sz="6" w:space="0" w:color="000000"/>
              <w:left w:val="single" w:sz="6" w:space="0" w:color="000000"/>
              <w:right w:val="single" w:sz="6" w:space="0" w:color="000000"/>
            </w:tcBorders>
            <w:vAlign w:val="center"/>
          </w:tcPr>
          <w:p w:rsidR="007D6A5F" w:rsidRPr="007D6A5F" w:rsidRDefault="007D6A5F" w:rsidP="007D6A5F">
            <w:pPr>
              <w:spacing w:line="240" w:lineRule="auto"/>
              <w:ind w:right="-111"/>
              <w:jc w:val="center"/>
              <w:rPr>
                <w:rFonts w:ascii="Times New Roman" w:hAnsi="Times New Roman" w:cs="Times New Roman"/>
                <w:b/>
                <w:noProof/>
                <w:snapToGrid w:val="0"/>
                <w:color w:val="000000"/>
                <w:sz w:val="24"/>
                <w:szCs w:val="24"/>
              </w:rPr>
            </w:pPr>
            <w:r w:rsidRPr="007D6A5F">
              <w:rPr>
                <w:rFonts w:ascii="Times New Roman" w:hAnsi="Times New Roman" w:cs="Times New Roman"/>
                <w:b/>
                <w:noProof/>
                <w:snapToGrid w:val="0"/>
                <w:color w:val="000000"/>
                <w:sz w:val="24"/>
                <w:szCs w:val="24"/>
              </w:rPr>
              <w:t xml:space="preserve"> </w:t>
            </w:r>
          </w:p>
          <w:p w:rsidR="007D6A5F" w:rsidRPr="007D6A5F" w:rsidRDefault="007D6A5F" w:rsidP="007D6A5F">
            <w:pPr>
              <w:spacing w:line="240" w:lineRule="auto"/>
              <w:ind w:right="-111"/>
              <w:jc w:val="center"/>
              <w:rPr>
                <w:rFonts w:ascii="Times New Roman" w:hAnsi="Times New Roman" w:cs="Times New Roman"/>
                <w:b/>
                <w:noProof/>
                <w:snapToGrid w:val="0"/>
                <w:color w:val="000000"/>
                <w:sz w:val="24"/>
                <w:szCs w:val="24"/>
              </w:rPr>
            </w:pPr>
            <w:r w:rsidRPr="007D6A5F">
              <w:rPr>
                <w:rFonts w:ascii="Times New Roman" w:hAnsi="Times New Roman" w:cs="Times New Roman"/>
                <w:b/>
                <w:noProof/>
                <w:snapToGrid w:val="0"/>
                <w:color w:val="000000"/>
                <w:sz w:val="24"/>
                <w:szCs w:val="24"/>
              </w:rPr>
              <w:t>з/п</w:t>
            </w:r>
          </w:p>
        </w:tc>
        <w:tc>
          <w:tcPr>
            <w:tcW w:w="4988" w:type="dxa"/>
            <w:tcBorders>
              <w:top w:val="single" w:sz="6" w:space="0" w:color="000000"/>
              <w:left w:val="single" w:sz="6" w:space="0" w:color="000000"/>
              <w:right w:val="single" w:sz="6" w:space="0" w:color="000000"/>
            </w:tcBorders>
            <w:vAlign w:val="center"/>
          </w:tcPr>
          <w:p w:rsidR="007D6A5F" w:rsidRPr="007D6A5F" w:rsidRDefault="007D6A5F" w:rsidP="007D6A5F">
            <w:pPr>
              <w:spacing w:line="240" w:lineRule="auto"/>
              <w:ind w:right="-108"/>
              <w:jc w:val="center"/>
              <w:rPr>
                <w:rFonts w:ascii="Times New Roman" w:hAnsi="Times New Roman" w:cs="Times New Roman"/>
                <w:b/>
                <w:bCs/>
                <w:noProof/>
                <w:snapToGrid w:val="0"/>
                <w:color w:val="000000"/>
                <w:sz w:val="24"/>
                <w:szCs w:val="24"/>
              </w:rPr>
            </w:pPr>
            <w:r w:rsidRPr="007D6A5F">
              <w:rPr>
                <w:rFonts w:ascii="Times New Roman" w:hAnsi="Times New Roman" w:cs="Times New Roman"/>
                <w:b/>
                <w:bCs/>
                <w:noProof/>
                <w:snapToGrid w:val="0"/>
                <w:color w:val="000000"/>
                <w:sz w:val="24"/>
                <w:szCs w:val="24"/>
              </w:rPr>
              <w:t xml:space="preserve">Найменування </w:t>
            </w:r>
          </w:p>
          <w:p w:rsidR="007D6A5F" w:rsidRPr="007D6A5F" w:rsidRDefault="007D6A5F" w:rsidP="007D6A5F">
            <w:pPr>
              <w:spacing w:line="240" w:lineRule="auto"/>
              <w:ind w:right="-108"/>
              <w:jc w:val="center"/>
              <w:rPr>
                <w:rFonts w:ascii="Times New Roman" w:hAnsi="Times New Roman" w:cs="Times New Roman"/>
                <w:b/>
                <w:bCs/>
                <w:noProof/>
                <w:snapToGrid w:val="0"/>
                <w:color w:val="000000"/>
                <w:sz w:val="24"/>
                <w:szCs w:val="24"/>
              </w:rPr>
            </w:pPr>
          </w:p>
        </w:tc>
        <w:tc>
          <w:tcPr>
            <w:tcW w:w="1774" w:type="dxa"/>
            <w:tcBorders>
              <w:top w:val="single" w:sz="6" w:space="0" w:color="000000"/>
              <w:left w:val="single" w:sz="6" w:space="0" w:color="000000"/>
              <w:right w:val="single" w:sz="6" w:space="0" w:color="000000"/>
            </w:tcBorders>
            <w:vAlign w:val="center"/>
          </w:tcPr>
          <w:p w:rsidR="007D6A5F" w:rsidRPr="007D6A5F" w:rsidRDefault="007D6A5F" w:rsidP="007D6A5F">
            <w:pPr>
              <w:spacing w:line="240" w:lineRule="auto"/>
              <w:ind w:right="-108"/>
              <w:jc w:val="center"/>
              <w:rPr>
                <w:rFonts w:ascii="Times New Roman" w:hAnsi="Times New Roman" w:cs="Times New Roman"/>
                <w:noProof/>
                <w:sz w:val="24"/>
                <w:szCs w:val="24"/>
              </w:rPr>
            </w:pPr>
            <w:r w:rsidRPr="007D6A5F">
              <w:rPr>
                <w:rFonts w:ascii="Times New Roman" w:hAnsi="Times New Roman" w:cs="Times New Roman"/>
                <w:b/>
                <w:bCs/>
                <w:noProof/>
                <w:color w:val="000000"/>
                <w:sz w:val="24"/>
                <w:szCs w:val="24"/>
              </w:rPr>
              <w:t>Одиниця виміру</w:t>
            </w:r>
          </w:p>
          <w:p w:rsidR="007D6A5F" w:rsidRPr="007D6A5F" w:rsidRDefault="007D6A5F" w:rsidP="007D6A5F">
            <w:pPr>
              <w:spacing w:line="240" w:lineRule="auto"/>
              <w:ind w:right="-108"/>
              <w:jc w:val="center"/>
              <w:rPr>
                <w:rFonts w:ascii="Times New Roman" w:hAnsi="Times New Roman" w:cs="Times New Roman"/>
                <w:b/>
                <w:bCs/>
                <w:noProof/>
                <w:snapToGrid w:val="0"/>
                <w:color w:val="000000"/>
                <w:sz w:val="24"/>
                <w:szCs w:val="24"/>
              </w:rPr>
            </w:pPr>
          </w:p>
        </w:tc>
        <w:tc>
          <w:tcPr>
            <w:tcW w:w="1649" w:type="dxa"/>
            <w:tcBorders>
              <w:top w:val="single" w:sz="6" w:space="0" w:color="000000"/>
              <w:left w:val="single" w:sz="6" w:space="0" w:color="000000"/>
              <w:right w:val="single" w:sz="6" w:space="0" w:color="000000"/>
            </w:tcBorders>
            <w:vAlign w:val="center"/>
          </w:tcPr>
          <w:p w:rsidR="007D6A5F" w:rsidRPr="007D6A5F" w:rsidRDefault="007D6A5F" w:rsidP="007D6A5F">
            <w:pPr>
              <w:spacing w:line="240" w:lineRule="auto"/>
              <w:ind w:right="-108"/>
              <w:jc w:val="center"/>
              <w:rPr>
                <w:rFonts w:ascii="Times New Roman" w:hAnsi="Times New Roman" w:cs="Times New Roman"/>
                <w:b/>
                <w:bCs/>
                <w:noProof/>
                <w:color w:val="000000"/>
                <w:sz w:val="24"/>
                <w:szCs w:val="24"/>
              </w:rPr>
            </w:pPr>
            <w:r w:rsidRPr="007D6A5F">
              <w:rPr>
                <w:rFonts w:ascii="Times New Roman" w:hAnsi="Times New Roman" w:cs="Times New Roman"/>
                <w:b/>
                <w:bCs/>
                <w:noProof/>
                <w:color w:val="000000"/>
                <w:sz w:val="24"/>
                <w:szCs w:val="24"/>
              </w:rPr>
              <w:t>Кількість</w:t>
            </w:r>
          </w:p>
          <w:p w:rsidR="007D6A5F" w:rsidRPr="007D6A5F" w:rsidRDefault="007D6A5F" w:rsidP="007D6A5F">
            <w:pPr>
              <w:spacing w:line="240" w:lineRule="auto"/>
              <w:ind w:right="-108"/>
              <w:jc w:val="center"/>
              <w:rPr>
                <w:rFonts w:ascii="Times New Roman" w:hAnsi="Times New Roman" w:cs="Times New Roman"/>
                <w:b/>
                <w:bCs/>
                <w:noProof/>
                <w:color w:val="000000"/>
                <w:sz w:val="24"/>
                <w:szCs w:val="24"/>
              </w:rPr>
            </w:pPr>
          </w:p>
        </w:tc>
      </w:tr>
      <w:tr w:rsidR="007D6A5F" w:rsidRPr="007D6A5F" w:rsidTr="005A322D">
        <w:trPr>
          <w:trHeight w:val="687"/>
          <w:jc w:val="center"/>
        </w:trPr>
        <w:tc>
          <w:tcPr>
            <w:tcW w:w="649"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left="-12" w:right="-111"/>
              <w:jc w:val="center"/>
              <w:rPr>
                <w:rFonts w:ascii="Times New Roman" w:hAnsi="Times New Roman" w:cs="Times New Roman"/>
                <w:noProof/>
                <w:snapToGrid w:val="0"/>
                <w:color w:val="000000"/>
                <w:sz w:val="24"/>
                <w:szCs w:val="24"/>
              </w:rPr>
            </w:pPr>
            <w:r w:rsidRPr="007D6A5F">
              <w:rPr>
                <w:rFonts w:ascii="Times New Roman" w:hAnsi="Times New Roman" w:cs="Times New Roman"/>
                <w:noProof/>
                <w:snapToGrid w:val="0"/>
                <w:color w:val="000000"/>
                <w:sz w:val="24"/>
                <w:szCs w:val="24"/>
              </w:rPr>
              <w:t>1</w:t>
            </w:r>
          </w:p>
        </w:tc>
        <w:tc>
          <w:tcPr>
            <w:tcW w:w="4988"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right="-107"/>
              <w:rPr>
                <w:rFonts w:ascii="Times New Roman" w:hAnsi="Times New Roman" w:cs="Times New Roman"/>
                <w:sz w:val="24"/>
                <w:szCs w:val="24"/>
              </w:rPr>
            </w:pPr>
            <w:r w:rsidRPr="007D6A5F">
              <w:rPr>
                <w:rFonts w:ascii="Times New Roman" w:hAnsi="Times New Roman" w:cs="Times New Roman"/>
                <w:color w:val="000000"/>
                <w:sz w:val="24"/>
                <w:szCs w:val="24"/>
              </w:rPr>
              <w:t xml:space="preserve">Надання права користування програмної продукції  – «_________» </w:t>
            </w:r>
          </w:p>
        </w:tc>
        <w:tc>
          <w:tcPr>
            <w:tcW w:w="1774" w:type="dxa"/>
            <w:tcBorders>
              <w:left w:val="single" w:sz="6" w:space="0" w:color="000000"/>
              <w:right w:val="single" w:sz="6" w:space="0" w:color="000000"/>
            </w:tcBorders>
            <w:vAlign w:val="center"/>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користувач</w:t>
            </w:r>
          </w:p>
        </w:tc>
        <w:tc>
          <w:tcPr>
            <w:tcW w:w="1649" w:type="dxa"/>
            <w:tcBorders>
              <w:left w:val="single" w:sz="6" w:space="0" w:color="000000"/>
              <w:right w:val="single" w:sz="6" w:space="0" w:color="000000"/>
            </w:tcBorders>
          </w:tcPr>
          <w:p w:rsidR="007D6A5F" w:rsidRPr="007D6A5F" w:rsidRDefault="007D6A5F" w:rsidP="007D6A5F">
            <w:pPr>
              <w:spacing w:line="240" w:lineRule="auto"/>
              <w:ind w:right="-1"/>
              <w:jc w:val="center"/>
              <w:rPr>
                <w:rFonts w:ascii="Times New Roman" w:hAnsi="Times New Roman" w:cs="Times New Roman"/>
                <w:sz w:val="24"/>
                <w:szCs w:val="24"/>
              </w:rPr>
            </w:pPr>
          </w:p>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5</w:t>
            </w:r>
          </w:p>
        </w:tc>
      </w:tr>
      <w:tr w:rsidR="007D6A5F" w:rsidRPr="007D6A5F" w:rsidTr="005A322D">
        <w:trPr>
          <w:trHeight w:val="687"/>
          <w:jc w:val="center"/>
        </w:trPr>
        <w:tc>
          <w:tcPr>
            <w:tcW w:w="649"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left="-12" w:right="-111"/>
              <w:jc w:val="center"/>
              <w:rPr>
                <w:rFonts w:ascii="Times New Roman" w:hAnsi="Times New Roman" w:cs="Times New Roman"/>
                <w:noProof/>
                <w:snapToGrid w:val="0"/>
                <w:color w:val="000000"/>
                <w:sz w:val="24"/>
                <w:szCs w:val="24"/>
              </w:rPr>
            </w:pPr>
            <w:r w:rsidRPr="007D6A5F">
              <w:rPr>
                <w:rFonts w:ascii="Times New Roman" w:hAnsi="Times New Roman" w:cs="Times New Roman"/>
                <w:noProof/>
                <w:snapToGrid w:val="0"/>
                <w:color w:val="000000"/>
                <w:sz w:val="24"/>
                <w:szCs w:val="24"/>
              </w:rPr>
              <w:t>2</w:t>
            </w:r>
          </w:p>
        </w:tc>
        <w:tc>
          <w:tcPr>
            <w:tcW w:w="4988"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Д</w:t>
            </w:r>
            <w:r w:rsidRPr="007D6A5F">
              <w:rPr>
                <w:rFonts w:ascii="Times New Roman" w:hAnsi="Times New Roman" w:cs="Times New Roman"/>
                <w:color w:val="000000"/>
                <w:sz w:val="24"/>
                <w:szCs w:val="24"/>
              </w:rPr>
              <w:t>одаткове розміщення на хмарному середовищі</w:t>
            </w:r>
          </w:p>
        </w:tc>
        <w:tc>
          <w:tcPr>
            <w:tcW w:w="1774" w:type="dxa"/>
            <w:tcBorders>
              <w:left w:val="single" w:sz="6" w:space="0" w:color="000000"/>
              <w:right w:val="single" w:sz="6" w:space="0" w:color="000000"/>
            </w:tcBorders>
            <w:vAlign w:val="center"/>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послуга</w:t>
            </w:r>
          </w:p>
        </w:tc>
        <w:tc>
          <w:tcPr>
            <w:tcW w:w="1649" w:type="dxa"/>
            <w:tcBorders>
              <w:left w:val="single" w:sz="6" w:space="0" w:color="000000"/>
              <w:right w:val="single" w:sz="6" w:space="0" w:color="000000"/>
            </w:tcBorders>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1</w:t>
            </w:r>
          </w:p>
        </w:tc>
      </w:tr>
      <w:tr w:rsidR="007D6A5F" w:rsidRPr="007D6A5F" w:rsidTr="005A322D">
        <w:trPr>
          <w:trHeight w:val="486"/>
          <w:jc w:val="center"/>
        </w:trPr>
        <w:tc>
          <w:tcPr>
            <w:tcW w:w="649"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left="-12" w:right="-111"/>
              <w:jc w:val="center"/>
              <w:rPr>
                <w:rFonts w:ascii="Times New Roman" w:hAnsi="Times New Roman" w:cs="Times New Roman"/>
                <w:noProof/>
                <w:snapToGrid w:val="0"/>
                <w:color w:val="000000"/>
                <w:sz w:val="24"/>
                <w:szCs w:val="24"/>
              </w:rPr>
            </w:pPr>
            <w:r w:rsidRPr="007D6A5F">
              <w:rPr>
                <w:rFonts w:ascii="Times New Roman" w:hAnsi="Times New Roman" w:cs="Times New Roman"/>
                <w:noProof/>
                <w:snapToGrid w:val="0"/>
                <w:color w:val="000000"/>
                <w:sz w:val="24"/>
                <w:szCs w:val="24"/>
              </w:rPr>
              <w:t>3</w:t>
            </w:r>
          </w:p>
        </w:tc>
        <w:tc>
          <w:tcPr>
            <w:tcW w:w="4988"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right="-107"/>
              <w:rPr>
                <w:rFonts w:ascii="Times New Roman" w:hAnsi="Times New Roman" w:cs="Times New Roman"/>
                <w:sz w:val="24"/>
                <w:szCs w:val="24"/>
              </w:rPr>
            </w:pPr>
            <w:r w:rsidRPr="007D6A5F">
              <w:rPr>
                <w:rFonts w:ascii="Times New Roman" w:hAnsi="Times New Roman" w:cs="Times New Roman"/>
                <w:sz w:val="24"/>
                <w:szCs w:val="24"/>
              </w:rPr>
              <w:t>Впровадження системи  ( налаштування, адаптація, навчання)</w:t>
            </w:r>
          </w:p>
        </w:tc>
        <w:tc>
          <w:tcPr>
            <w:tcW w:w="1774" w:type="dxa"/>
            <w:tcBorders>
              <w:left w:val="single" w:sz="6" w:space="0" w:color="000000"/>
              <w:right w:val="single" w:sz="6" w:space="0" w:color="000000"/>
            </w:tcBorders>
            <w:vAlign w:val="center"/>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послуга</w:t>
            </w:r>
          </w:p>
        </w:tc>
        <w:tc>
          <w:tcPr>
            <w:tcW w:w="1649" w:type="dxa"/>
            <w:tcBorders>
              <w:left w:val="single" w:sz="6" w:space="0" w:color="000000"/>
              <w:right w:val="single" w:sz="6" w:space="0" w:color="000000"/>
            </w:tcBorders>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5</w:t>
            </w:r>
          </w:p>
        </w:tc>
      </w:tr>
      <w:tr w:rsidR="007D6A5F" w:rsidRPr="007D6A5F" w:rsidTr="005A322D">
        <w:trPr>
          <w:trHeight w:val="486"/>
          <w:jc w:val="center"/>
        </w:trPr>
        <w:tc>
          <w:tcPr>
            <w:tcW w:w="649"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right="-111"/>
              <w:rPr>
                <w:rFonts w:ascii="Times New Roman" w:hAnsi="Times New Roman" w:cs="Times New Roman"/>
                <w:noProof/>
                <w:snapToGrid w:val="0"/>
                <w:color w:val="000000"/>
                <w:sz w:val="24"/>
                <w:szCs w:val="24"/>
              </w:rPr>
            </w:pPr>
            <w:r w:rsidRPr="007D6A5F">
              <w:rPr>
                <w:rFonts w:ascii="Times New Roman" w:hAnsi="Times New Roman" w:cs="Times New Roman"/>
                <w:noProof/>
                <w:snapToGrid w:val="0"/>
                <w:color w:val="000000"/>
                <w:sz w:val="24"/>
                <w:szCs w:val="24"/>
              </w:rPr>
              <w:t xml:space="preserve">    4</w:t>
            </w:r>
          </w:p>
        </w:tc>
        <w:tc>
          <w:tcPr>
            <w:tcW w:w="4988" w:type="dxa"/>
            <w:tcBorders>
              <w:top w:val="single" w:sz="6" w:space="0" w:color="000000"/>
              <w:left w:val="single" w:sz="6" w:space="0" w:color="000000"/>
              <w:bottom w:val="single" w:sz="4" w:space="0" w:color="auto"/>
              <w:right w:val="single" w:sz="6" w:space="0" w:color="000000"/>
            </w:tcBorders>
            <w:vAlign w:val="center"/>
          </w:tcPr>
          <w:p w:rsidR="007D6A5F" w:rsidRPr="007D6A5F" w:rsidRDefault="007D6A5F" w:rsidP="007D6A5F">
            <w:pPr>
              <w:spacing w:line="240" w:lineRule="auto"/>
              <w:ind w:right="-107"/>
              <w:rPr>
                <w:rFonts w:ascii="Times New Roman" w:hAnsi="Times New Roman" w:cs="Times New Roman"/>
                <w:sz w:val="24"/>
                <w:szCs w:val="24"/>
              </w:rPr>
            </w:pPr>
            <w:r w:rsidRPr="007D6A5F">
              <w:rPr>
                <w:rFonts w:ascii="Times New Roman" w:hAnsi="Times New Roman" w:cs="Times New Roman"/>
                <w:sz w:val="24"/>
                <w:szCs w:val="24"/>
              </w:rPr>
              <w:t>Інтеграція лабораторного обладнання (аналізаторів)</w:t>
            </w:r>
          </w:p>
        </w:tc>
        <w:tc>
          <w:tcPr>
            <w:tcW w:w="1774" w:type="dxa"/>
            <w:tcBorders>
              <w:left w:val="single" w:sz="6" w:space="0" w:color="000000"/>
              <w:right w:val="single" w:sz="6" w:space="0" w:color="000000"/>
            </w:tcBorders>
            <w:vAlign w:val="center"/>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Послуга</w:t>
            </w:r>
          </w:p>
        </w:tc>
        <w:tc>
          <w:tcPr>
            <w:tcW w:w="1649" w:type="dxa"/>
            <w:tcBorders>
              <w:left w:val="single" w:sz="6" w:space="0" w:color="000000"/>
              <w:right w:val="single" w:sz="6" w:space="0" w:color="000000"/>
            </w:tcBorders>
          </w:tcPr>
          <w:p w:rsidR="007D6A5F" w:rsidRPr="007D6A5F" w:rsidRDefault="007D6A5F" w:rsidP="007D6A5F">
            <w:pPr>
              <w:spacing w:line="240" w:lineRule="auto"/>
              <w:ind w:right="-1"/>
              <w:jc w:val="center"/>
              <w:rPr>
                <w:rFonts w:ascii="Times New Roman" w:hAnsi="Times New Roman" w:cs="Times New Roman"/>
                <w:sz w:val="24"/>
                <w:szCs w:val="24"/>
              </w:rPr>
            </w:pPr>
            <w:r w:rsidRPr="007D6A5F">
              <w:rPr>
                <w:rFonts w:ascii="Times New Roman" w:hAnsi="Times New Roman" w:cs="Times New Roman"/>
                <w:sz w:val="24"/>
                <w:szCs w:val="24"/>
              </w:rPr>
              <w:t>1</w:t>
            </w:r>
          </w:p>
        </w:tc>
      </w:tr>
    </w:tbl>
    <w:p w:rsidR="007D6A5F" w:rsidRPr="007D6A5F" w:rsidRDefault="007D6A5F" w:rsidP="007D6A5F">
      <w:pPr>
        <w:spacing w:line="240" w:lineRule="auto"/>
        <w:rPr>
          <w:rFonts w:ascii="Times New Roman" w:hAnsi="Times New Roman" w:cs="Times New Roman"/>
          <w:sz w:val="24"/>
          <w:szCs w:val="24"/>
        </w:rPr>
      </w:pPr>
    </w:p>
    <w:p w:rsidR="007D6A5F" w:rsidRPr="007D6A5F" w:rsidRDefault="007D6A5F" w:rsidP="007D6A5F">
      <w:pPr>
        <w:pStyle w:val="a6"/>
        <w:spacing w:before="0" w:beforeAutospacing="0" w:after="0" w:afterAutospacing="0"/>
        <w:ind w:firstLine="708"/>
        <w:jc w:val="both"/>
        <w:rPr>
          <w:color w:val="000000"/>
        </w:rPr>
      </w:pPr>
      <w:r w:rsidRPr="007D6A5F">
        <w:rPr>
          <w:color w:val="000000"/>
        </w:rPr>
        <w:t>Модуль призначений для автоматизації роботи процедурних кабінетів, лабораторій та дослідницьких кабінетів за такими видами досліджень як: клінічні, біохімічні, гематологічні, імунологічні, гормональні, мікробіологічні, цитологічні та гістологічні та інші, а також автоматизація процесів взаємодії лабораторії з клінічними (лікувальними) відділеннями стаціонару та поліклініки для оформлення призначень на лабораторні дослідження, безпосереднє проведення лабораторних досліджень та передачі результатів в клінічні відділення.</w:t>
      </w:r>
    </w:p>
    <w:p w:rsidR="007D6A5F" w:rsidRPr="007D6A5F" w:rsidRDefault="007D6A5F" w:rsidP="007D6A5F">
      <w:pPr>
        <w:pStyle w:val="a6"/>
        <w:spacing w:before="0" w:beforeAutospacing="0" w:after="0" w:afterAutospacing="0"/>
        <w:jc w:val="both"/>
        <w:rPr>
          <w:color w:val="000000"/>
        </w:rPr>
      </w:pPr>
      <w:r w:rsidRPr="007D6A5F">
        <w:rPr>
          <w:color w:val="000000"/>
        </w:rPr>
        <w:t>Автоматизація технологічного процесу проведення лабораторних досліджень складається з наступних функцій:</w:t>
      </w:r>
    </w:p>
    <w:p w:rsidR="007D6A5F" w:rsidRPr="007D6A5F" w:rsidRDefault="007D6A5F" w:rsidP="007D6A5F">
      <w:pPr>
        <w:pStyle w:val="a6"/>
        <w:spacing w:before="0" w:beforeAutospacing="0" w:after="0" w:afterAutospacing="0"/>
        <w:jc w:val="both"/>
        <w:rPr>
          <w:color w:val="000000"/>
        </w:rPr>
      </w:pPr>
      <w:r w:rsidRPr="007D6A5F">
        <w:rPr>
          <w:color w:val="000000"/>
        </w:rPr>
        <w:t>· формування та друк направлень на проведення лабораторних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 проведення реєстрації в системі направлень на дослідження лабораторій;</w:t>
      </w:r>
    </w:p>
    <w:p w:rsidR="007D6A5F" w:rsidRPr="007D6A5F" w:rsidRDefault="007D6A5F" w:rsidP="007D6A5F">
      <w:pPr>
        <w:pStyle w:val="a6"/>
        <w:spacing w:before="0" w:beforeAutospacing="0" w:after="0" w:afterAutospacing="0"/>
        <w:jc w:val="both"/>
        <w:rPr>
          <w:color w:val="000000"/>
        </w:rPr>
      </w:pPr>
      <w:r w:rsidRPr="007D6A5F">
        <w:rPr>
          <w:color w:val="000000"/>
        </w:rPr>
        <w:t>· можливість проведення централізованого оперативного контролю замовлень;</w:t>
      </w:r>
    </w:p>
    <w:p w:rsidR="007D6A5F" w:rsidRPr="007D6A5F" w:rsidRDefault="007D6A5F" w:rsidP="007D6A5F">
      <w:pPr>
        <w:pStyle w:val="a6"/>
        <w:spacing w:before="0" w:beforeAutospacing="0" w:after="0" w:afterAutospacing="0"/>
        <w:jc w:val="both"/>
        <w:rPr>
          <w:color w:val="000000"/>
        </w:rPr>
      </w:pPr>
      <w:r w:rsidRPr="007D6A5F">
        <w:rPr>
          <w:color w:val="000000"/>
        </w:rPr>
        <w:t>· реєстрація забору біологічних матеріалів хворих;</w:t>
      </w:r>
    </w:p>
    <w:p w:rsidR="007D6A5F" w:rsidRPr="007D6A5F" w:rsidRDefault="007D6A5F" w:rsidP="007D6A5F">
      <w:pPr>
        <w:pStyle w:val="a6"/>
        <w:spacing w:before="0" w:beforeAutospacing="0" w:after="0" w:afterAutospacing="0"/>
        <w:jc w:val="both"/>
        <w:rPr>
          <w:color w:val="000000"/>
        </w:rPr>
      </w:pPr>
      <w:r w:rsidRPr="007D6A5F">
        <w:rPr>
          <w:color w:val="000000"/>
        </w:rPr>
        <w:t xml:space="preserve">· ведення архіву </w:t>
      </w:r>
      <w:proofErr w:type="spellStart"/>
      <w:r w:rsidRPr="007D6A5F">
        <w:rPr>
          <w:color w:val="000000"/>
        </w:rPr>
        <w:t>біоматеріалів</w:t>
      </w:r>
      <w:proofErr w:type="spellEnd"/>
      <w:r w:rsidRPr="007D6A5F">
        <w:rPr>
          <w:color w:val="000000"/>
        </w:rPr>
        <w:t>;</w:t>
      </w:r>
    </w:p>
    <w:p w:rsidR="007D6A5F" w:rsidRPr="007D6A5F" w:rsidRDefault="007D6A5F" w:rsidP="007D6A5F">
      <w:pPr>
        <w:pStyle w:val="a6"/>
        <w:spacing w:before="0" w:beforeAutospacing="0" w:after="0" w:afterAutospacing="0"/>
        <w:jc w:val="both"/>
        <w:rPr>
          <w:color w:val="000000"/>
        </w:rPr>
      </w:pPr>
      <w:r w:rsidRPr="007D6A5F">
        <w:rPr>
          <w:color w:val="000000"/>
        </w:rPr>
        <w:t>· підготовка робочих журналів лабораторій;</w:t>
      </w:r>
    </w:p>
    <w:p w:rsidR="007D6A5F" w:rsidRPr="007D6A5F" w:rsidRDefault="007D6A5F" w:rsidP="007D6A5F">
      <w:pPr>
        <w:pStyle w:val="a6"/>
        <w:spacing w:before="0" w:beforeAutospacing="0" w:after="0" w:afterAutospacing="0"/>
        <w:jc w:val="both"/>
        <w:rPr>
          <w:color w:val="000000"/>
        </w:rPr>
      </w:pPr>
      <w:r w:rsidRPr="007D6A5F">
        <w:rPr>
          <w:color w:val="000000"/>
        </w:rPr>
        <w:t>· автоматичне формування журналу реєстрації проведених аналізів та їх результатів;</w:t>
      </w:r>
    </w:p>
    <w:p w:rsidR="007D6A5F" w:rsidRPr="007D6A5F" w:rsidRDefault="007D6A5F" w:rsidP="007D6A5F">
      <w:pPr>
        <w:pStyle w:val="a6"/>
        <w:spacing w:before="0" w:beforeAutospacing="0" w:after="0" w:afterAutospacing="0"/>
        <w:jc w:val="both"/>
        <w:rPr>
          <w:color w:val="000000"/>
        </w:rPr>
      </w:pPr>
      <w:r w:rsidRPr="007D6A5F">
        <w:rPr>
          <w:color w:val="000000"/>
        </w:rPr>
        <w:t>· реєстрація результатів досліджень, проведених ручною методикою;</w:t>
      </w:r>
    </w:p>
    <w:p w:rsidR="007D6A5F" w:rsidRPr="007D6A5F" w:rsidRDefault="007D6A5F" w:rsidP="007D6A5F">
      <w:pPr>
        <w:pStyle w:val="a6"/>
        <w:spacing w:before="0" w:beforeAutospacing="0" w:after="0" w:afterAutospacing="0"/>
        <w:jc w:val="both"/>
        <w:rPr>
          <w:color w:val="000000"/>
        </w:rPr>
      </w:pPr>
      <w:r w:rsidRPr="007D6A5F">
        <w:rPr>
          <w:color w:val="000000"/>
        </w:rPr>
        <w:t>· контроль отриманих результатів аналізів на відповідність певним нормам;</w:t>
      </w:r>
    </w:p>
    <w:p w:rsidR="007D6A5F" w:rsidRPr="007D6A5F" w:rsidRDefault="007D6A5F" w:rsidP="007D6A5F">
      <w:pPr>
        <w:pStyle w:val="a6"/>
        <w:spacing w:before="0" w:beforeAutospacing="0" w:after="0" w:afterAutospacing="0"/>
        <w:jc w:val="both"/>
        <w:rPr>
          <w:color w:val="000000"/>
        </w:rPr>
      </w:pPr>
      <w:r w:rsidRPr="007D6A5F">
        <w:rPr>
          <w:color w:val="000000"/>
        </w:rPr>
        <w:t>· оперативний аналіз результатів досліджень та їх динаміки;</w:t>
      </w:r>
    </w:p>
    <w:p w:rsidR="007D6A5F" w:rsidRPr="007D6A5F" w:rsidRDefault="007D6A5F" w:rsidP="007D6A5F">
      <w:pPr>
        <w:pStyle w:val="a6"/>
        <w:spacing w:before="0" w:beforeAutospacing="0" w:after="0" w:afterAutospacing="0"/>
        <w:jc w:val="both"/>
        <w:rPr>
          <w:color w:val="000000"/>
        </w:rPr>
      </w:pPr>
      <w:r w:rsidRPr="007D6A5F">
        <w:rPr>
          <w:color w:val="000000"/>
        </w:rPr>
        <w:t>· формування бланків/протоколів результатів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lastRenderedPageBreak/>
        <w:t>· автоматизоване сполучення з лабораторними аналізаторами за протоколами стандарту ASTM 1394.</w:t>
      </w:r>
    </w:p>
    <w:p w:rsidR="007D6A5F" w:rsidRPr="007D6A5F" w:rsidRDefault="007D6A5F" w:rsidP="007D6A5F">
      <w:pPr>
        <w:pStyle w:val="a6"/>
        <w:spacing w:before="0" w:beforeAutospacing="0" w:after="0" w:afterAutospacing="0"/>
        <w:jc w:val="both"/>
        <w:rPr>
          <w:color w:val="000000"/>
        </w:rPr>
      </w:pPr>
      <w:r w:rsidRPr="007D6A5F">
        <w:rPr>
          <w:color w:val="000000"/>
        </w:rPr>
        <w:t xml:space="preserve">· автоматизація </w:t>
      </w:r>
      <w:proofErr w:type="spellStart"/>
      <w:r w:rsidRPr="007D6A5F">
        <w:rPr>
          <w:color w:val="000000"/>
        </w:rPr>
        <w:t>якістно-кількісних</w:t>
      </w:r>
      <w:proofErr w:type="spellEnd"/>
      <w:r w:rsidRPr="007D6A5F">
        <w:rPr>
          <w:color w:val="000000"/>
        </w:rPr>
        <w:t xml:space="preserve"> методик внутрішньо-лабораторного контролю;</w:t>
      </w:r>
    </w:p>
    <w:p w:rsidR="007D6A5F" w:rsidRPr="007D6A5F" w:rsidRDefault="007D6A5F" w:rsidP="007D6A5F">
      <w:pPr>
        <w:pStyle w:val="a6"/>
        <w:spacing w:before="0" w:beforeAutospacing="0" w:after="0" w:afterAutospacing="0"/>
        <w:jc w:val="both"/>
        <w:rPr>
          <w:color w:val="000000"/>
        </w:rPr>
      </w:pPr>
      <w:r w:rsidRPr="007D6A5F">
        <w:rPr>
          <w:color w:val="000000"/>
        </w:rPr>
        <w:t>· реєстрація в системі:</w:t>
      </w:r>
    </w:p>
    <w:p w:rsidR="007D6A5F" w:rsidRPr="007D6A5F" w:rsidRDefault="007D6A5F" w:rsidP="007D6A5F">
      <w:pPr>
        <w:pStyle w:val="a6"/>
        <w:spacing w:before="0" w:beforeAutospacing="0" w:after="0" w:afterAutospacing="0"/>
        <w:jc w:val="both"/>
        <w:rPr>
          <w:color w:val="000000"/>
        </w:rPr>
      </w:pPr>
      <w:r w:rsidRPr="007D6A5F">
        <w:rPr>
          <w:color w:val="000000"/>
        </w:rPr>
        <w:t>o контрольних матеріалів, їх паспортних характеристик та контрольних даних</w:t>
      </w:r>
    </w:p>
    <w:p w:rsidR="007D6A5F" w:rsidRPr="007D6A5F" w:rsidRDefault="007D6A5F" w:rsidP="007D6A5F">
      <w:pPr>
        <w:pStyle w:val="a6"/>
        <w:spacing w:before="0" w:beforeAutospacing="0" w:after="0" w:afterAutospacing="0"/>
        <w:jc w:val="both"/>
        <w:rPr>
          <w:color w:val="000000"/>
        </w:rPr>
      </w:pPr>
      <w:r w:rsidRPr="007D6A5F">
        <w:rPr>
          <w:color w:val="000000"/>
        </w:rPr>
        <w:t>o методики проведення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o групи для декількох методик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 можливість визначення для контрольних серій кількісних статистичних характеристик;</w:t>
      </w:r>
    </w:p>
    <w:p w:rsidR="007D6A5F" w:rsidRPr="007D6A5F" w:rsidRDefault="007D6A5F" w:rsidP="007D6A5F">
      <w:pPr>
        <w:pStyle w:val="a6"/>
        <w:spacing w:before="0" w:beforeAutospacing="0" w:after="0" w:afterAutospacing="0"/>
        <w:jc w:val="both"/>
        <w:rPr>
          <w:color w:val="000000"/>
        </w:rPr>
      </w:pPr>
      <w:r w:rsidRPr="007D6A5F">
        <w:rPr>
          <w:color w:val="000000"/>
        </w:rPr>
        <w:t>· формування друкованих форм протоколів внутрішньо-лабораторного контролю якості за контрольними матеріалами;</w:t>
      </w:r>
    </w:p>
    <w:p w:rsidR="007D6A5F" w:rsidRPr="007D6A5F" w:rsidRDefault="007D6A5F" w:rsidP="007D6A5F">
      <w:pPr>
        <w:pStyle w:val="a6"/>
        <w:spacing w:before="0" w:beforeAutospacing="0" w:after="0" w:afterAutospacing="0"/>
        <w:jc w:val="both"/>
        <w:rPr>
          <w:color w:val="000000"/>
        </w:rPr>
      </w:pPr>
      <w:r w:rsidRPr="007D6A5F">
        <w:rPr>
          <w:color w:val="000000"/>
        </w:rPr>
        <w:t>· контроль за дотриманням правил по забору матеріалу та відповідності правилам зберігання;</w:t>
      </w:r>
    </w:p>
    <w:p w:rsidR="007D6A5F" w:rsidRPr="007D6A5F" w:rsidRDefault="007D6A5F" w:rsidP="007D6A5F">
      <w:pPr>
        <w:pStyle w:val="a6"/>
        <w:spacing w:before="0" w:beforeAutospacing="0" w:after="0" w:afterAutospacing="0"/>
        <w:jc w:val="both"/>
        <w:rPr>
          <w:color w:val="000000"/>
        </w:rPr>
      </w:pPr>
      <w:r w:rsidRPr="007D6A5F">
        <w:rPr>
          <w:color w:val="000000"/>
        </w:rPr>
        <w:t>· контроль технології проведення лабораторних досліджень, у залежності від проведеного аналізу, формування відповідної звітної форми за його результатами;</w:t>
      </w:r>
    </w:p>
    <w:p w:rsidR="007D6A5F" w:rsidRPr="007D6A5F" w:rsidRDefault="007D6A5F" w:rsidP="007D6A5F">
      <w:pPr>
        <w:pStyle w:val="a6"/>
        <w:spacing w:before="0" w:beforeAutospacing="0" w:after="0" w:afterAutospacing="0"/>
        <w:jc w:val="both"/>
        <w:rPr>
          <w:color w:val="000000"/>
        </w:rPr>
      </w:pPr>
      <w:r w:rsidRPr="007D6A5F">
        <w:rPr>
          <w:color w:val="000000"/>
        </w:rPr>
        <w:t>· підтримка діяльності різних видів лабораторій (експрес лабораторії, клініко-діагностичні лабораторії, бактеріологічні лабораторії та інші): налагодження різних видів досліджень та вимірювальних показників; ведення довідникової інформації (типові звіти, одиниці виміру, покази на дослідження тощо);</w:t>
      </w:r>
    </w:p>
    <w:p w:rsidR="007D6A5F" w:rsidRPr="007D6A5F" w:rsidRDefault="007D6A5F" w:rsidP="007D6A5F">
      <w:pPr>
        <w:pStyle w:val="a6"/>
        <w:spacing w:before="0" w:beforeAutospacing="0" w:after="0" w:afterAutospacing="0"/>
        <w:jc w:val="both"/>
        <w:rPr>
          <w:color w:val="000000"/>
        </w:rPr>
      </w:pPr>
      <w:r w:rsidRPr="007D6A5F">
        <w:rPr>
          <w:color w:val="000000"/>
        </w:rPr>
        <w:t>· формування статистичних довідок та звітів в довільній формі;</w:t>
      </w:r>
    </w:p>
    <w:p w:rsidR="007D6A5F" w:rsidRPr="007D6A5F" w:rsidRDefault="007D6A5F" w:rsidP="007D6A5F">
      <w:pPr>
        <w:pStyle w:val="a6"/>
        <w:spacing w:before="0" w:beforeAutospacing="0" w:after="0" w:afterAutospacing="0"/>
        <w:jc w:val="both"/>
        <w:rPr>
          <w:color w:val="000000"/>
        </w:rPr>
      </w:pPr>
      <w:r w:rsidRPr="007D6A5F">
        <w:rPr>
          <w:color w:val="000000"/>
        </w:rPr>
        <w:t>Наступні компоненти модуля «Лабораторія» забезпечують автоматизацію логічно-згрупованих внутрішніх процесів для реалізації в системі функціональності модуля, що зазначена вище:</w:t>
      </w:r>
    </w:p>
    <w:p w:rsidR="007D6A5F" w:rsidRPr="007D6A5F" w:rsidRDefault="007D6A5F" w:rsidP="007D6A5F">
      <w:pPr>
        <w:pStyle w:val="a6"/>
        <w:spacing w:before="0" w:beforeAutospacing="0" w:after="0" w:afterAutospacing="0"/>
        <w:jc w:val="both"/>
        <w:rPr>
          <w:color w:val="000000"/>
        </w:rPr>
      </w:pPr>
      <w:r w:rsidRPr="007D6A5F">
        <w:rPr>
          <w:color w:val="000000"/>
        </w:rPr>
        <w:t>1. Компонента "Робоче місце лікаря-лаборанта" (МЛ-РМ)</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автоматизацію робочого місця лікаря-лаборанта згідно з його профілем.</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відображає список всіх досліджень, які повинні бути виконані, на основі цієї інформації формувати та друкувати робочий лист, а також форму, в яку заносяться результати лабораторних досліджень та зберігаються дані про дослідження.</w:t>
      </w:r>
    </w:p>
    <w:p w:rsidR="007D6A5F" w:rsidRPr="007D6A5F" w:rsidRDefault="007D6A5F" w:rsidP="007D6A5F">
      <w:pPr>
        <w:pStyle w:val="a6"/>
        <w:spacing w:before="0" w:beforeAutospacing="0" w:after="0" w:afterAutospacing="0"/>
        <w:jc w:val="both"/>
        <w:rPr>
          <w:color w:val="000000"/>
        </w:rPr>
      </w:pPr>
      <w:r w:rsidRPr="007D6A5F">
        <w:rPr>
          <w:color w:val="000000"/>
        </w:rPr>
        <w:t>2. Компонента "Направлення" (МЛ-Н)</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отримання або створення направлення/замовлення на проведення лабораторного дослідження.</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виконує наступні функції:</w:t>
      </w:r>
    </w:p>
    <w:p w:rsidR="007D6A5F" w:rsidRPr="007D6A5F" w:rsidRDefault="007D6A5F" w:rsidP="007D6A5F">
      <w:pPr>
        <w:pStyle w:val="a6"/>
        <w:spacing w:before="0" w:beforeAutospacing="0" w:after="0" w:afterAutospacing="0"/>
        <w:jc w:val="both"/>
        <w:rPr>
          <w:color w:val="000000"/>
        </w:rPr>
      </w:pPr>
      <w:r w:rsidRPr="007D6A5F">
        <w:rPr>
          <w:color w:val="000000"/>
        </w:rPr>
        <w:t>· реєстрацію нового направлення/замовлення;</w:t>
      </w:r>
    </w:p>
    <w:p w:rsidR="007D6A5F" w:rsidRPr="007D6A5F" w:rsidRDefault="007D6A5F" w:rsidP="007D6A5F">
      <w:pPr>
        <w:pStyle w:val="a6"/>
        <w:spacing w:before="0" w:beforeAutospacing="0" w:after="0" w:afterAutospacing="0"/>
        <w:jc w:val="both"/>
        <w:rPr>
          <w:color w:val="000000"/>
        </w:rPr>
      </w:pPr>
      <w:r w:rsidRPr="007D6A5F">
        <w:rPr>
          <w:color w:val="000000"/>
        </w:rPr>
        <w:t xml:space="preserve">· реєстрації </w:t>
      </w:r>
      <w:proofErr w:type="spellStart"/>
      <w:r w:rsidRPr="007D6A5F">
        <w:rPr>
          <w:color w:val="000000"/>
        </w:rPr>
        <w:t>біоматеріалу</w:t>
      </w:r>
      <w:proofErr w:type="spellEnd"/>
      <w:r w:rsidRPr="007D6A5F">
        <w:rPr>
          <w:color w:val="000000"/>
        </w:rPr>
        <w:t>;</w:t>
      </w:r>
    </w:p>
    <w:p w:rsidR="007D6A5F" w:rsidRPr="007D6A5F" w:rsidRDefault="007D6A5F" w:rsidP="007D6A5F">
      <w:pPr>
        <w:pStyle w:val="a6"/>
        <w:spacing w:before="0" w:beforeAutospacing="0" w:after="0" w:afterAutospacing="0"/>
        <w:jc w:val="both"/>
        <w:rPr>
          <w:color w:val="000000"/>
        </w:rPr>
      </w:pPr>
      <w:r w:rsidRPr="007D6A5F">
        <w:rPr>
          <w:color w:val="000000"/>
        </w:rPr>
        <w:t>· друк направлення;</w:t>
      </w:r>
    </w:p>
    <w:p w:rsidR="007D6A5F" w:rsidRPr="007D6A5F" w:rsidRDefault="007D6A5F" w:rsidP="007D6A5F">
      <w:pPr>
        <w:pStyle w:val="a6"/>
        <w:spacing w:before="0" w:beforeAutospacing="0" w:after="0" w:afterAutospacing="0"/>
        <w:jc w:val="both"/>
        <w:rPr>
          <w:color w:val="000000"/>
        </w:rPr>
      </w:pPr>
      <w:r w:rsidRPr="007D6A5F">
        <w:rPr>
          <w:color w:val="000000"/>
        </w:rPr>
        <w:t>· реєстрація результатів дослідження;</w:t>
      </w:r>
    </w:p>
    <w:p w:rsidR="007D6A5F" w:rsidRPr="007D6A5F" w:rsidRDefault="007D6A5F" w:rsidP="007D6A5F">
      <w:pPr>
        <w:pStyle w:val="a6"/>
        <w:spacing w:before="0" w:beforeAutospacing="0" w:after="0" w:afterAutospacing="0"/>
        <w:jc w:val="both"/>
        <w:rPr>
          <w:color w:val="000000"/>
        </w:rPr>
      </w:pPr>
      <w:r w:rsidRPr="007D6A5F">
        <w:rPr>
          <w:color w:val="000000"/>
        </w:rPr>
        <w:t>· друк результатів дослідження.</w:t>
      </w:r>
    </w:p>
    <w:p w:rsidR="007D6A5F" w:rsidRPr="007D6A5F" w:rsidRDefault="007D6A5F" w:rsidP="007D6A5F">
      <w:pPr>
        <w:pStyle w:val="a6"/>
        <w:spacing w:before="0" w:beforeAutospacing="0" w:after="0" w:afterAutospacing="0"/>
        <w:jc w:val="both"/>
        <w:rPr>
          <w:color w:val="000000"/>
        </w:rPr>
      </w:pPr>
      <w:r w:rsidRPr="007D6A5F">
        <w:rPr>
          <w:color w:val="000000"/>
        </w:rPr>
        <w:t>3. Компонента "Результати досліджень" (МЛ-РД)</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відображення повної інформації про лабораторні дослідження.</w:t>
      </w:r>
    </w:p>
    <w:p w:rsidR="007D6A5F" w:rsidRPr="007D6A5F" w:rsidRDefault="007D6A5F" w:rsidP="007D6A5F">
      <w:pPr>
        <w:pStyle w:val="a6"/>
        <w:spacing w:before="0" w:beforeAutospacing="0" w:after="0" w:afterAutospacing="0"/>
        <w:jc w:val="both"/>
        <w:rPr>
          <w:color w:val="000000"/>
        </w:rPr>
      </w:pPr>
      <w:r w:rsidRPr="007D6A5F">
        <w:rPr>
          <w:color w:val="000000"/>
        </w:rPr>
        <w:t>Інформація про дослідження представлена в табличній формі і має можливість друку замовлення.</w:t>
      </w:r>
    </w:p>
    <w:p w:rsidR="007D6A5F" w:rsidRPr="007D6A5F" w:rsidRDefault="007D6A5F" w:rsidP="007D6A5F">
      <w:pPr>
        <w:pStyle w:val="a6"/>
        <w:spacing w:before="0" w:beforeAutospacing="0" w:after="0" w:afterAutospacing="0"/>
        <w:jc w:val="both"/>
        <w:rPr>
          <w:color w:val="000000"/>
        </w:rPr>
      </w:pPr>
      <w:r w:rsidRPr="007D6A5F">
        <w:rPr>
          <w:color w:val="000000"/>
        </w:rPr>
        <w:t>4. Компонента "</w:t>
      </w:r>
      <w:proofErr w:type="spellStart"/>
      <w:r w:rsidRPr="007D6A5F">
        <w:rPr>
          <w:color w:val="000000"/>
        </w:rPr>
        <w:t>Пробопідготовка</w:t>
      </w:r>
      <w:proofErr w:type="spellEnd"/>
      <w:r w:rsidRPr="007D6A5F">
        <w:rPr>
          <w:color w:val="000000"/>
        </w:rPr>
        <w:t>" (МЛ-П)</w:t>
      </w:r>
    </w:p>
    <w:p w:rsidR="007D6A5F" w:rsidRPr="007D6A5F" w:rsidRDefault="007D6A5F" w:rsidP="007D6A5F">
      <w:pPr>
        <w:pStyle w:val="a6"/>
        <w:spacing w:before="0" w:beforeAutospacing="0" w:after="0" w:afterAutospacing="0"/>
        <w:jc w:val="both"/>
        <w:rPr>
          <w:color w:val="000000"/>
        </w:rPr>
      </w:pPr>
      <w:r w:rsidRPr="007D6A5F">
        <w:rPr>
          <w:color w:val="000000"/>
        </w:rPr>
        <w:t xml:space="preserve">Компонента призначена для проведення </w:t>
      </w:r>
      <w:proofErr w:type="spellStart"/>
      <w:r w:rsidRPr="007D6A5F">
        <w:rPr>
          <w:color w:val="000000"/>
        </w:rPr>
        <w:t>пробопідготовки</w:t>
      </w:r>
      <w:proofErr w:type="spellEnd"/>
      <w:r w:rsidRPr="007D6A5F">
        <w:rPr>
          <w:color w:val="000000"/>
        </w:rPr>
        <w:t xml:space="preserve"> </w:t>
      </w:r>
      <w:proofErr w:type="spellStart"/>
      <w:r w:rsidRPr="007D6A5F">
        <w:rPr>
          <w:color w:val="000000"/>
        </w:rPr>
        <w:t>біоматеріалу</w:t>
      </w:r>
      <w:proofErr w:type="spellEnd"/>
      <w:r w:rsidRPr="007D6A5F">
        <w:rPr>
          <w:color w:val="000000"/>
        </w:rPr>
        <w:t xml:space="preserve"> для проведення лабораторного дослідження.</w:t>
      </w:r>
    </w:p>
    <w:p w:rsidR="007D6A5F" w:rsidRPr="007D6A5F" w:rsidRDefault="007D6A5F" w:rsidP="007D6A5F">
      <w:pPr>
        <w:pStyle w:val="a6"/>
        <w:spacing w:before="0" w:beforeAutospacing="0" w:after="0" w:afterAutospacing="0"/>
        <w:jc w:val="both"/>
        <w:rPr>
          <w:color w:val="000000"/>
        </w:rPr>
      </w:pPr>
      <w:r w:rsidRPr="007D6A5F">
        <w:rPr>
          <w:color w:val="000000"/>
        </w:rPr>
        <w:t xml:space="preserve">Компонента має можливість ідентифікації зразку по штрих-коду пробірки, в якій знаходиться </w:t>
      </w:r>
      <w:proofErr w:type="spellStart"/>
      <w:r w:rsidRPr="007D6A5F">
        <w:rPr>
          <w:color w:val="000000"/>
        </w:rPr>
        <w:t>біоматеріал</w:t>
      </w:r>
      <w:proofErr w:type="spellEnd"/>
      <w:r w:rsidRPr="007D6A5F">
        <w:rPr>
          <w:color w:val="000000"/>
        </w:rPr>
        <w:t>.</w:t>
      </w:r>
    </w:p>
    <w:p w:rsidR="007D6A5F" w:rsidRPr="007D6A5F" w:rsidRDefault="007D6A5F" w:rsidP="007D6A5F">
      <w:pPr>
        <w:pStyle w:val="a6"/>
        <w:spacing w:before="0" w:beforeAutospacing="0" w:after="0" w:afterAutospacing="0"/>
        <w:jc w:val="both"/>
        <w:rPr>
          <w:color w:val="000000"/>
        </w:rPr>
      </w:pPr>
      <w:r w:rsidRPr="007D6A5F">
        <w:rPr>
          <w:color w:val="000000"/>
        </w:rPr>
        <w:t>У головному вікні форми відображається штатив, на якому обираються робочі місця, де будуть проводитись дослідження, та розміщуються зразки для подальшого формування завдання на робочі місця.</w:t>
      </w:r>
    </w:p>
    <w:p w:rsidR="007D6A5F" w:rsidRPr="007D6A5F" w:rsidRDefault="007D6A5F" w:rsidP="007D6A5F">
      <w:pPr>
        <w:pStyle w:val="a6"/>
        <w:spacing w:before="0" w:beforeAutospacing="0" w:after="0" w:afterAutospacing="0"/>
        <w:jc w:val="both"/>
        <w:rPr>
          <w:color w:val="000000"/>
        </w:rPr>
      </w:pPr>
      <w:r w:rsidRPr="007D6A5F">
        <w:rPr>
          <w:color w:val="000000"/>
        </w:rPr>
        <w:t>5. Компонента "Лабораторні журнали" (МЛ-ЛЖ)</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фіксування результатів лабораторних досліджень у відповідних журналах.</w:t>
      </w:r>
    </w:p>
    <w:p w:rsidR="007D6A5F" w:rsidRPr="007D6A5F" w:rsidRDefault="007D6A5F" w:rsidP="007D6A5F">
      <w:pPr>
        <w:pStyle w:val="a6"/>
        <w:spacing w:before="0" w:beforeAutospacing="0" w:after="0" w:afterAutospacing="0"/>
        <w:jc w:val="both"/>
        <w:rPr>
          <w:color w:val="000000"/>
        </w:rPr>
      </w:pPr>
      <w:r w:rsidRPr="007D6A5F">
        <w:rPr>
          <w:color w:val="000000"/>
        </w:rPr>
        <w:lastRenderedPageBreak/>
        <w:t>Компонента забезпечує друк титульного листа журналу та формувати сторінки журналу з результатами лабораторних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6. Компонента "Етикетки" (МЛ-Е)</w:t>
      </w:r>
    </w:p>
    <w:p w:rsidR="007D6A5F" w:rsidRPr="007D6A5F" w:rsidRDefault="007D6A5F" w:rsidP="007D6A5F">
      <w:pPr>
        <w:pStyle w:val="a6"/>
        <w:spacing w:before="0" w:beforeAutospacing="0" w:after="0" w:afterAutospacing="0"/>
        <w:jc w:val="both"/>
        <w:rPr>
          <w:color w:val="000000"/>
        </w:rPr>
      </w:pPr>
      <w:r w:rsidRPr="007D6A5F">
        <w:rPr>
          <w:color w:val="000000"/>
        </w:rPr>
        <w:t xml:space="preserve">Компонента призначена для створення серій етикеток для маркування </w:t>
      </w:r>
      <w:proofErr w:type="spellStart"/>
      <w:r w:rsidRPr="007D6A5F">
        <w:rPr>
          <w:color w:val="000000"/>
        </w:rPr>
        <w:t>біоматеріалів</w:t>
      </w:r>
      <w:proofErr w:type="spellEnd"/>
      <w:r w:rsidRPr="007D6A5F">
        <w:rPr>
          <w:color w:val="000000"/>
        </w:rPr>
        <w:t xml:space="preserve"> та штативів.</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створення нової серії етикеток з відповідними параметрами та друк серій.</w:t>
      </w:r>
    </w:p>
    <w:p w:rsidR="007D6A5F" w:rsidRPr="007D6A5F" w:rsidRDefault="007D6A5F" w:rsidP="007D6A5F">
      <w:pPr>
        <w:pStyle w:val="a6"/>
        <w:spacing w:before="0" w:beforeAutospacing="0" w:after="0" w:afterAutospacing="0"/>
        <w:jc w:val="both"/>
        <w:rPr>
          <w:color w:val="000000"/>
        </w:rPr>
      </w:pPr>
      <w:r w:rsidRPr="007D6A5F">
        <w:rPr>
          <w:color w:val="000000"/>
        </w:rPr>
        <w:t>7. Компонента "Діапазони маркування" (МЛ-ДМ)</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відображувати діапазони зайнятих серій етикеток.</w:t>
      </w:r>
    </w:p>
    <w:p w:rsidR="007D6A5F" w:rsidRPr="007D6A5F" w:rsidRDefault="007D6A5F" w:rsidP="007D6A5F">
      <w:pPr>
        <w:pStyle w:val="a6"/>
        <w:spacing w:before="0" w:beforeAutospacing="0" w:after="0" w:afterAutospacing="0"/>
        <w:jc w:val="both"/>
        <w:rPr>
          <w:color w:val="000000"/>
        </w:rPr>
      </w:pPr>
      <w:r w:rsidRPr="007D6A5F">
        <w:rPr>
          <w:color w:val="000000"/>
        </w:rPr>
        <w:t>8. Компонента "Керування дослідженнями" (МЛ-КД)</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налаштування лабораторних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створення нового дослідження або групи досліджень та заповнення необхідної інформації про дослідження (</w:t>
      </w:r>
      <w:proofErr w:type="spellStart"/>
      <w:r w:rsidRPr="007D6A5F">
        <w:rPr>
          <w:color w:val="000000"/>
        </w:rPr>
        <w:t>біоматеріал</w:t>
      </w:r>
      <w:proofErr w:type="spellEnd"/>
      <w:r w:rsidRPr="007D6A5F">
        <w:rPr>
          <w:color w:val="000000"/>
        </w:rPr>
        <w:t>, температурний режим, параметри, робоче місце та ін.).</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має можливість друкувати список досліджень окремо та з разом з параметрами.</w:t>
      </w:r>
    </w:p>
    <w:p w:rsidR="007D6A5F" w:rsidRPr="007D6A5F" w:rsidRDefault="007D6A5F" w:rsidP="007D6A5F">
      <w:pPr>
        <w:pStyle w:val="a6"/>
        <w:spacing w:before="0" w:beforeAutospacing="0" w:after="0" w:afterAutospacing="0"/>
        <w:jc w:val="both"/>
        <w:rPr>
          <w:color w:val="000000"/>
        </w:rPr>
      </w:pPr>
      <w:r w:rsidRPr="007D6A5F">
        <w:rPr>
          <w:color w:val="000000"/>
        </w:rPr>
        <w:t xml:space="preserve">9. Компонента "Керування </w:t>
      </w:r>
      <w:proofErr w:type="spellStart"/>
      <w:r w:rsidRPr="007D6A5F">
        <w:rPr>
          <w:color w:val="000000"/>
        </w:rPr>
        <w:t>біоматеріалами</w:t>
      </w:r>
      <w:proofErr w:type="spellEnd"/>
      <w:r w:rsidRPr="007D6A5F">
        <w:rPr>
          <w:color w:val="000000"/>
        </w:rPr>
        <w:t>" (МЛ-КБ)</w:t>
      </w:r>
    </w:p>
    <w:p w:rsidR="007D6A5F" w:rsidRPr="007D6A5F" w:rsidRDefault="007D6A5F" w:rsidP="007D6A5F">
      <w:pPr>
        <w:pStyle w:val="a6"/>
        <w:spacing w:before="0" w:beforeAutospacing="0" w:after="0" w:afterAutospacing="0"/>
        <w:jc w:val="both"/>
        <w:rPr>
          <w:color w:val="000000"/>
        </w:rPr>
      </w:pPr>
      <w:r w:rsidRPr="007D6A5F">
        <w:rPr>
          <w:color w:val="000000"/>
        </w:rPr>
        <w:t xml:space="preserve">Компонента призначена для налаштування переліку </w:t>
      </w:r>
      <w:proofErr w:type="spellStart"/>
      <w:r w:rsidRPr="007D6A5F">
        <w:rPr>
          <w:color w:val="000000"/>
        </w:rPr>
        <w:t>біоматеріалів</w:t>
      </w:r>
      <w:proofErr w:type="spellEnd"/>
      <w:r w:rsidRPr="007D6A5F">
        <w:rPr>
          <w:color w:val="000000"/>
        </w:rPr>
        <w:t>.</w:t>
      </w:r>
    </w:p>
    <w:p w:rsidR="007D6A5F" w:rsidRPr="007D6A5F" w:rsidRDefault="007D6A5F" w:rsidP="007D6A5F">
      <w:pPr>
        <w:pStyle w:val="a6"/>
        <w:spacing w:before="0" w:beforeAutospacing="0" w:after="0" w:afterAutospacing="0"/>
        <w:jc w:val="both"/>
        <w:rPr>
          <w:color w:val="000000"/>
        </w:rPr>
      </w:pPr>
      <w:r w:rsidRPr="007D6A5F">
        <w:rPr>
          <w:color w:val="000000"/>
        </w:rPr>
        <w:t xml:space="preserve">Компонента забезпечує додавання нового </w:t>
      </w:r>
      <w:proofErr w:type="spellStart"/>
      <w:r w:rsidRPr="007D6A5F">
        <w:rPr>
          <w:color w:val="000000"/>
        </w:rPr>
        <w:t>біоматеріалу</w:t>
      </w:r>
      <w:proofErr w:type="spellEnd"/>
      <w:r w:rsidRPr="007D6A5F">
        <w:rPr>
          <w:color w:val="000000"/>
        </w:rPr>
        <w:t xml:space="preserve"> або групи </w:t>
      </w:r>
      <w:proofErr w:type="spellStart"/>
      <w:r w:rsidRPr="007D6A5F">
        <w:rPr>
          <w:color w:val="000000"/>
        </w:rPr>
        <w:t>біоматеріалів</w:t>
      </w:r>
      <w:proofErr w:type="spellEnd"/>
      <w:r w:rsidRPr="007D6A5F">
        <w:rPr>
          <w:color w:val="000000"/>
        </w:rPr>
        <w:t xml:space="preserve"> та введення відповідної інформації про них (походження </w:t>
      </w:r>
      <w:proofErr w:type="spellStart"/>
      <w:r w:rsidRPr="007D6A5F">
        <w:rPr>
          <w:color w:val="000000"/>
        </w:rPr>
        <w:t>біоматеріалів</w:t>
      </w:r>
      <w:proofErr w:type="spellEnd"/>
      <w:r w:rsidRPr="007D6A5F">
        <w:rPr>
          <w:color w:val="000000"/>
        </w:rPr>
        <w:t>, умови зберігання та ін.).</w:t>
      </w:r>
    </w:p>
    <w:p w:rsidR="007D6A5F" w:rsidRPr="007D6A5F" w:rsidRDefault="007D6A5F" w:rsidP="007D6A5F">
      <w:pPr>
        <w:pStyle w:val="a6"/>
        <w:spacing w:before="0" w:beforeAutospacing="0" w:after="0" w:afterAutospacing="0"/>
        <w:jc w:val="both"/>
        <w:rPr>
          <w:color w:val="000000"/>
        </w:rPr>
      </w:pPr>
      <w:r w:rsidRPr="007D6A5F">
        <w:rPr>
          <w:color w:val="000000"/>
        </w:rPr>
        <w:t>10. Компонента "Керування ємностями" (МЛ-КЄ)</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налаштування переліку ємностей, які використовуються для проведення лабораторних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додавання нової ємності в залежності від профілю лабораторних досліджень та внесення інформації про неї (назва, область використання та ін.).</w:t>
      </w:r>
    </w:p>
    <w:p w:rsidR="007D6A5F" w:rsidRPr="007D6A5F" w:rsidRDefault="007D6A5F" w:rsidP="007D6A5F">
      <w:pPr>
        <w:pStyle w:val="a6"/>
        <w:spacing w:before="0" w:beforeAutospacing="0" w:after="0" w:afterAutospacing="0"/>
        <w:jc w:val="both"/>
        <w:rPr>
          <w:color w:val="000000"/>
        </w:rPr>
      </w:pPr>
      <w:r w:rsidRPr="007D6A5F">
        <w:rPr>
          <w:color w:val="000000"/>
        </w:rPr>
        <w:t>11. Компонента "Довідник одиниць вимірювання" (МЛ-ОВ)</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налаштування одиниць вимірювання, які використовуються при проведені лабораторних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додавання нової базової або похідної одиниці вимірювання.</w:t>
      </w:r>
    </w:p>
    <w:p w:rsidR="007D6A5F" w:rsidRPr="007D6A5F" w:rsidRDefault="007D6A5F" w:rsidP="007D6A5F">
      <w:pPr>
        <w:pStyle w:val="a6"/>
        <w:spacing w:before="0" w:beforeAutospacing="0" w:after="0" w:afterAutospacing="0"/>
        <w:jc w:val="both"/>
        <w:rPr>
          <w:color w:val="000000"/>
        </w:rPr>
      </w:pPr>
      <w:r w:rsidRPr="007D6A5F">
        <w:rPr>
          <w:color w:val="000000"/>
        </w:rPr>
        <w:t>12. Компонента "Керування АРМ лаборанта" (МЛ-КА)</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налаштування робочих місць лікарів-лаборантів.</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моніторинг строків виконання аналізів та створення або редагування робочих місць із зазначенням досліджень, які проводяться на цих місцях, та обладнання, яке використовується для проведення досліджень.</w:t>
      </w:r>
    </w:p>
    <w:p w:rsidR="007D6A5F" w:rsidRPr="007D6A5F" w:rsidRDefault="007D6A5F" w:rsidP="007D6A5F">
      <w:pPr>
        <w:pStyle w:val="a6"/>
        <w:spacing w:before="0" w:beforeAutospacing="0" w:after="0" w:afterAutospacing="0"/>
        <w:jc w:val="both"/>
        <w:rPr>
          <w:color w:val="000000"/>
        </w:rPr>
      </w:pPr>
      <w:r w:rsidRPr="007D6A5F">
        <w:rPr>
          <w:color w:val="000000"/>
        </w:rPr>
        <w:t>13. Компонента "Транспортування" (МЛ-Т)</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керування процесом транспортування зразків досліджень між медичним закладом та лабораторією.</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ідентифікацію зразку по штрих-коду на ємності, формування пакету досліджень для відправлення та отримання та друк робочого і транспортного листа.</w:t>
      </w:r>
    </w:p>
    <w:p w:rsidR="007D6A5F" w:rsidRPr="007D6A5F" w:rsidRDefault="007D6A5F" w:rsidP="007D6A5F">
      <w:pPr>
        <w:pStyle w:val="a6"/>
        <w:spacing w:before="0" w:beforeAutospacing="0" w:after="0" w:afterAutospacing="0"/>
        <w:jc w:val="both"/>
        <w:rPr>
          <w:color w:val="000000"/>
        </w:rPr>
      </w:pPr>
      <w:r w:rsidRPr="007D6A5F">
        <w:rPr>
          <w:color w:val="000000"/>
        </w:rPr>
        <w:t>14. Компонента "Архів" (МЛ-А)</w:t>
      </w:r>
    </w:p>
    <w:p w:rsidR="007D6A5F" w:rsidRPr="007D6A5F" w:rsidRDefault="007D6A5F" w:rsidP="007D6A5F">
      <w:pPr>
        <w:pStyle w:val="a6"/>
        <w:spacing w:before="0" w:beforeAutospacing="0" w:after="0" w:afterAutospacing="0"/>
        <w:jc w:val="both"/>
        <w:rPr>
          <w:color w:val="000000"/>
        </w:rPr>
      </w:pPr>
      <w:r w:rsidRPr="007D6A5F">
        <w:rPr>
          <w:color w:val="000000"/>
        </w:rPr>
        <w:t xml:space="preserve">Компонента призначена для забезпечення керування архівом </w:t>
      </w:r>
      <w:proofErr w:type="spellStart"/>
      <w:r w:rsidRPr="007D6A5F">
        <w:rPr>
          <w:color w:val="000000"/>
        </w:rPr>
        <w:t>біоматеріалів</w:t>
      </w:r>
      <w:proofErr w:type="spellEnd"/>
      <w:r w:rsidRPr="007D6A5F">
        <w:rPr>
          <w:color w:val="000000"/>
        </w:rPr>
        <w:t>.</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ідентифікацію зразку за штрих-кодом на ємності, де він зберігається, розміщення його в архіві та утилізацію.</w:t>
      </w:r>
    </w:p>
    <w:p w:rsidR="007D6A5F" w:rsidRPr="007D6A5F" w:rsidRDefault="007D6A5F" w:rsidP="007D6A5F">
      <w:pPr>
        <w:pStyle w:val="a6"/>
        <w:spacing w:before="0" w:beforeAutospacing="0" w:after="0" w:afterAutospacing="0"/>
        <w:jc w:val="both"/>
        <w:rPr>
          <w:color w:val="000000"/>
        </w:rPr>
      </w:pPr>
      <w:r w:rsidRPr="007D6A5F">
        <w:rPr>
          <w:color w:val="000000"/>
        </w:rPr>
        <w:t>У головному вікні форми відображається штатив, який міститься в архіві, і в який розміщуються зразки.</w:t>
      </w:r>
    </w:p>
    <w:p w:rsidR="007D6A5F" w:rsidRPr="007D6A5F" w:rsidRDefault="007D6A5F" w:rsidP="007D6A5F">
      <w:pPr>
        <w:pStyle w:val="a6"/>
        <w:spacing w:before="0" w:beforeAutospacing="0" w:after="0" w:afterAutospacing="0"/>
        <w:jc w:val="both"/>
        <w:rPr>
          <w:color w:val="000000"/>
        </w:rPr>
      </w:pPr>
      <w:r w:rsidRPr="007D6A5F">
        <w:rPr>
          <w:color w:val="000000"/>
        </w:rPr>
        <w:t>15. Компонента "Контроль якості" (МЛ-КЯ)</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проведення контрольних вимірювань та калібрування.</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w:t>
      </w:r>
    </w:p>
    <w:p w:rsidR="007D6A5F" w:rsidRPr="007D6A5F" w:rsidRDefault="007D6A5F" w:rsidP="007D6A5F">
      <w:pPr>
        <w:pStyle w:val="a6"/>
        <w:spacing w:before="0" w:beforeAutospacing="0" w:after="0" w:afterAutospacing="0"/>
        <w:jc w:val="both"/>
        <w:rPr>
          <w:color w:val="000000"/>
        </w:rPr>
      </w:pPr>
      <w:r w:rsidRPr="007D6A5F">
        <w:rPr>
          <w:color w:val="000000"/>
        </w:rPr>
        <w:t>· формування нової контрольної серії;</w:t>
      </w:r>
    </w:p>
    <w:p w:rsidR="007D6A5F" w:rsidRPr="007D6A5F" w:rsidRDefault="007D6A5F" w:rsidP="007D6A5F">
      <w:pPr>
        <w:pStyle w:val="a6"/>
        <w:spacing w:before="0" w:beforeAutospacing="0" w:after="0" w:afterAutospacing="0"/>
        <w:jc w:val="both"/>
        <w:rPr>
          <w:color w:val="000000"/>
        </w:rPr>
      </w:pPr>
      <w:r w:rsidRPr="007D6A5F">
        <w:rPr>
          <w:color w:val="000000"/>
        </w:rPr>
        <w:t>· на основі даних проведеного контролю побудову контрольної та кумулятивної карти;</w:t>
      </w:r>
    </w:p>
    <w:p w:rsidR="007D6A5F" w:rsidRPr="007D6A5F" w:rsidRDefault="007D6A5F" w:rsidP="007D6A5F">
      <w:pPr>
        <w:pStyle w:val="a6"/>
        <w:spacing w:before="0" w:beforeAutospacing="0" w:after="0" w:afterAutospacing="0"/>
        <w:jc w:val="both"/>
        <w:rPr>
          <w:color w:val="000000"/>
        </w:rPr>
      </w:pPr>
      <w:r w:rsidRPr="007D6A5F">
        <w:rPr>
          <w:color w:val="000000"/>
        </w:rPr>
        <w:t>· друк внутрішнього лабораторного звіту контролю якості.</w:t>
      </w:r>
    </w:p>
    <w:p w:rsidR="007D6A5F" w:rsidRPr="007D6A5F" w:rsidRDefault="007D6A5F" w:rsidP="007D6A5F">
      <w:pPr>
        <w:pStyle w:val="a6"/>
        <w:spacing w:before="0" w:beforeAutospacing="0" w:after="0" w:afterAutospacing="0"/>
        <w:jc w:val="both"/>
        <w:rPr>
          <w:color w:val="000000"/>
        </w:rPr>
      </w:pPr>
      <w:r w:rsidRPr="007D6A5F">
        <w:rPr>
          <w:color w:val="000000"/>
        </w:rPr>
        <w:t>16. Компонента "Контрольні матеріали" (МЛ-КМ)</w:t>
      </w:r>
    </w:p>
    <w:p w:rsidR="007D6A5F" w:rsidRPr="007D6A5F" w:rsidRDefault="007D6A5F" w:rsidP="007D6A5F">
      <w:pPr>
        <w:pStyle w:val="a6"/>
        <w:spacing w:before="0" w:beforeAutospacing="0" w:after="0" w:afterAutospacing="0"/>
        <w:jc w:val="both"/>
        <w:rPr>
          <w:color w:val="000000"/>
        </w:rPr>
      </w:pPr>
      <w:r w:rsidRPr="007D6A5F">
        <w:rPr>
          <w:color w:val="000000"/>
        </w:rPr>
        <w:lastRenderedPageBreak/>
        <w:t>Компонента призначена для обліку контрольних матеріалів для проведення контрольних вимірювань.</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додавання нового контрольного матеріалу із зазначенням всіх необхідних параметрів (тип матеріалу, термін дії, обладнання, на якому виконується дослідження даного матеріалу, вимірювані параметри та ін.).</w:t>
      </w:r>
    </w:p>
    <w:p w:rsidR="007D6A5F" w:rsidRPr="007D6A5F" w:rsidRDefault="007D6A5F" w:rsidP="007D6A5F">
      <w:pPr>
        <w:pStyle w:val="a6"/>
        <w:spacing w:before="0" w:beforeAutospacing="0" w:after="0" w:afterAutospacing="0"/>
        <w:jc w:val="both"/>
        <w:rPr>
          <w:color w:val="000000"/>
        </w:rPr>
      </w:pPr>
      <w:r w:rsidRPr="007D6A5F">
        <w:rPr>
          <w:color w:val="000000"/>
        </w:rPr>
        <w:t>17. Компонента "Обладнання" (МЛ-О)</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налаштування підключення лабораторного обладнання.</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додавання нового підключення до лабораторного обладнання із зазначенням необхідних параметрів (тип комунікації, аналізи та ін.).</w:t>
      </w:r>
    </w:p>
    <w:p w:rsidR="007D6A5F" w:rsidRPr="007D6A5F" w:rsidRDefault="007D6A5F" w:rsidP="007D6A5F">
      <w:pPr>
        <w:pStyle w:val="a6"/>
        <w:spacing w:before="0" w:beforeAutospacing="0" w:after="0" w:afterAutospacing="0"/>
        <w:jc w:val="both"/>
        <w:rPr>
          <w:color w:val="000000"/>
        </w:rPr>
      </w:pPr>
      <w:r w:rsidRPr="007D6A5F">
        <w:rPr>
          <w:color w:val="000000"/>
        </w:rPr>
        <w:t>18. Компонента "Шаблони архівів" (МЛ-ША)</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призначена для налаштування шаблонів архівів.</w:t>
      </w:r>
    </w:p>
    <w:p w:rsidR="007D6A5F" w:rsidRPr="007D6A5F" w:rsidRDefault="007D6A5F" w:rsidP="007D6A5F">
      <w:pPr>
        <w:pStyle w:val="a6"/>
        <w:spacing w:before="0" w:beforeAutospacing="0" w:after="0" w:afterAutospacing="0"/>
        <w:jc w:val="both"/>
        <w:rPr>
          <w:color w:val="000000"/>
        </w:rPr>
      </w:pPr>
      <w:r w:rsidRPr="007D6A5F">
        <w:rPr>
          <w:color w:val="000000"/>
        </w:rPr>
        <w:t>Компонента забезпечує додавання нового шаблону архіву із зазначенням його характеристик.</w:t>
      </w:r>
    </w:p>
    <w:p w:rsidR="007D6A5F" w:rsidRPr="007D6A5F" w:rsidRDefault="007D6A5F" w:rsidP="007D6A5F">
      <w:pPr>
        <w:spacing w:line="240" w:lineRule="auto"/>
        <w:jc w:val="both"/>
        <w:textAlignment w:val="baseline"/>
        <w:rPr>
          <w:rFonts w:ascii="Times New Roman" w:hAnsi="Times New Roman" w:cs="Times New Roman"/>
          <w:sz w:val="24"/>
          <w:szCs w:val="24"/>
        </w:rPr>
      </w:pPr>
      <w:r w:rsidRPr="007D6A5F">
        <w:rPr>
          <w:rFonts w:ascii="Times New Roman" w:hAnsi="Times New Roman" w:cs="Times New Roman"/>
          <w:sz w:val="24"/>
          <w:szCs w:val="24"/>
        </w:rPr>
        <w:t>19. Компонента «E-</w:t>
      </w:r>
      <w:proofErr w:type="spellStart"/>
      <w:r w:rsidRPr="007D6A5F">
        <w:rPr>
          <w:rFonts w:ascii="Times New Roman" w:hAnsi="Times New Roman" w:cs="Times New Roman"/>
          <w:sz w:val="24"/>
          <w:szCs w:val="24"/>
        </w:rPr>
        <w:t>health</w:t>
      </w:r>
      <w:proofErr w:type="spellEnd"/>
      <w:r w:rsidRPr="007D6A5F">
        <w:rPr>
          <w:rFonts w:ascii="Times New Roman" w:hAnsi="Times New Roman" w:cs="Times New Roman"/>
          <w:sz w:val="24"/>
          <w:szCs w:val="24"/>
        </w:rPr>
        <w:t>»  забезпечує   зв'язок модуля з центральним компонентом (ЦБД):</w:t>
      </w:r>
    </w:p>
    <w:p w:rsidR="007D6A5F" w:rsidRPr="007D6A5F" w:rsidRDefault="007D6A5F" w:rsidP="007D6A5F">
      <w:pPr>
        <w:spacing w:line="240" w:lineRule="auto"/>
        <w:jc w:val="both"/>
        <w:textAlignment w:val="baseline"/>
        <w:rPr>
          <w:rFonts w:ascii="Times New Roman" w:hAnsi="Times New Roman" w:cs="Times New Roman"/>
          <w:sz w:val="24"/>
          <w:szCs w:val="24"/>
        </w:rPr>
      </w:pPr>
      <w:r w:rsidRPr="007D6A5F">
        <w:rPr>
          <w:rFonts w:ascii="Times New Roman" w:hAnsi="Times New Roman" w:cs="Times New Roman"/>
          <w:sz w:val="24"/>
          <w:szCs w:val="24"/>
        </w:rPr>
        <w:t>- Електронні направлення</w:t>
      </w:r>
    </w:p>
    <w:p w:rsidR="007D6A5F" w:rsidRPr="007D6A5F" w:rsidRDefault="007D6A5F" w:rsidP="007D6A5F">
      <w:pPr>
        <w:spacing w:line="240" w:lineRule="auto"/>
        <w:jc w:val="both"/>
        <w:textAlignment w:val="baseline"/>
        <w:rPr>
          <w:rFonts w:ascii="Times New Roman" w:hAnsi="Times New Roman" w:cs="Times New Roman"/>
          <w:sz w:val="24"/>
          <w:szCs w:val="24"/>
        </w:rPr>
      </w:pPr>
      <w:r w:rsidRPr="007D6A5F">
        <w:rPr>
          <w:rFonts w:ascii="Times New Roman" w:hAnsi="Times New Roman" w:cs="Times New Roman"/>
          <w:sz w:val="24"/>
          <w:szCs w:val="24"/>
        </w:rPr>
        <w:t>- Електронні медичні записи</w:t>
      </w:r>
    </w:p>
    <w:p w:rsidR="007D6A5F" w:rsidRPr="007D6A5F" w:rsidRDefault="007D6A5F" w:rsidP="007D6A5F">
      <w:pPr>
        <w:spacing w:line="240" w:lineRule="auto"/>
        <w:jc w:val="both"/>
        <w:textAlignment w:val="baseline"/>
        <w:rPr>
          <w:rFonts w:ascii="Times New Roman" w:hAnsi="Times New Roman" w:cs="Times New Roman"/>
          <w:sz w:val="24"/>
          <w:szCs w:val="24"/>
        </w:rPr>
      </w:pPr>
      <w:r w:rsidRPr="007D6A5F">
        <w:rPr>
          <w:rFonts w:ascii="Times New Roman" w:hAnsi="Times New Roman" w:cs="Times New Roman"/>
          <w:sz w:val="24"/>
          <w:szCs w:val="24"/>
        </w:rPr>
        <w:t>- Діагностичні звіти</w:t>
      </w:r>
    </w:p>
    <w:p w:rsidR="007D6A5F" w:rsidRPr="007D6A5F" w:rsidRDefault="007D6A5F" w:rsidP="007D6A5F">
      <w:pPr>
        <w:spacing w:line="240" w:lineRule="auto"/>
        <w:jc w:val="center"/>
        <w:rPr>
          <w:rFonts w:ascii="Times New Roman" w:eastAsia="Times New Roman" w:hAnsi="Times New Roman" w:cs="Times New Roman"/>
          <w:b/>
          <w:bCs/>
          <w:kern w:val="2"/>
          <w:sz w:val="24"/>
          <w:szCs w:val="24"/>
          <w:lang/>
        </w:rPr>
      </w:pPr>
      <w:r w:rsidRPr="007D6A5F">
        <w:rPr>
          <w:rFonts w:ascii="Times New Roman" w:hAnsi="Times New Roman" w:cs="Times New Roman"/>
          <w:b/>
          <w:bCs/>
          <w:sz w:val="24"/>
          <w:szCs w:val="24"/>
        </w:rPr>
        <w:t xml:space="preserve">ХАРАКТЕРИСТИКА </w:t>
      </w:r>
      <w:r w:rsidRPr="007D6A5F">
        <w:rPr>
          <w:rFonts w:ascii="Times New Roman" w:hAnsi="Times New Roman" w:cs="Times New Roman"/>
          <w:b/>
          <w:bCs/>
          <w:sz w:val="24"/>
          <w:szCs w:val="24"/>
          <w:lang/>
        </w:rPr>
        <w:t>АНАЛІТИЧНОГО ОБЛАДНАННЯ</w:t>
      </w:r>
      <w:r w:rsidRPr="007D6A5F">
        <w:rPr>
          <w:rFonts w:ascii="Times New Roman" w:hAnsi="Times New Roman" w:cs="Times New Roman"/>
          <w:b/>
          <w:bCs/>
          <w:sz w:val="24"/>
          <w:szCs w:val="24"/>
        </w:rPr>
        <w:t>, ЩО ПІДЛЯГАЄ</w:t>
      </w:r>
      <w:r w:rsidRPr="007D6A5F">
        <w:rPr>
          <w:rFonts w:ascii="Times New Roman" w:hAnsi="Times New Roman" w:cs="Times New Roman"/>
          <w:b/>
          <w:bCs/>
          <w:sz w:val="24"/>
          <w:szCs w:val="24"/>
          <w:lang/>
        </w:rPr>
        <w:t xml:space="preserve"> ПІДКЛЮЧЕН</w:t>
      </w:r>
      <w:r w:rsidRPr="007D6A5F">
        <w:rPr>
          <w:rFonts w:ascii="Times New Roman" w:hAnsi="Times New Roman" w:cs="Times New Roman"/>
          <w:b/>
          <w:bCs/>
          <w:sz w:val="24"/>
          <w:szCs w:val="24"/>
        </w:rPr>
        <w:t>НЮ В ЛІС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301"/>
        <w:gridCol w:w="2075"/>
        <w:gridCol w:w="1957"/>
      </w:tblGrid>
      <w:tr w:rsidR="007D6A5F" w:rsidRPr="007D6A5F" w:rsidTr="005A322D">
        <w:tc>
          <w:tcPr>
            <w:tcW w:w="534" w:type="dxa"/>
            <w:tcBorders>
              <w:top w:val="single" w:sz="4" w:space="0" w:color="auto"/>
              <w:left w:val="single" w:sz="4" w:space="0" w:color="auto"/>
              <w:bottom w:val="single" w:sz="4" w:space="0" w:color="auto"/>
              <w:right w:val="single" w:sz="4" w:space="0" w:color="auto"/>
            </w:tcBorders>
            <w:shd w:val="clear" w:color="auto" w:fill="auto"/>
          </w:tcPr>
          <w:p w:rsidR="007D6A5F" w:rsidRPr="007D6A5F" w:rsidRDefault="007D6A5F" w:rsidP="007D6A5F">
            <w:pPr>
              <w:spacing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jc w:val="center"/>
              <w:rPr>
                <w:rFonts w:ascii="Times New Roman" w:hAnsi="Times New Roman" w:cs="Times New Roman"/>
                <w:sz w:val="24"/>
                <w:szCs w:val="24"/>
              </w:rPr>
            </w:pPr>
            <w:r w:rsidRPr="007D6A5F">
              <w:rPr>
                <w:rFonts w:ascii="Times New Roman" w:hAnsi="Times New Roman" w:cs="Times New Roman"/>
                <w:sz w:val="24"/>
                <w:szCs w:val="24"/>
              </w:rPr>
              <w:t>Аналізатор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jc w:val="center"/>
              <w:rPr>
                <w:rFonts w:ascii="Times New Roman" w:hAnsi="Times New Roman" w:cs="Times New Roman"/>
                <w:sz w:val="24"/>
                <w:szCs w:val="24"/>
              </w:rPr>
            </w:pPr>
            <w:r w:rsidRPr="007D6A5F">
              <w:rPr>
                <w:rFonts w:ascii="Times New Roman" w:hAnsi="Times New Roman" w:cs="Times New Roman"/>
                <w:sz w:val="24"/>
                <w:szCs w:val="24"/>
              </w:rPr>
              <w:t>Режим роботи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jc w:val="center"/>
              <w:rPr>
                <w:rFonts w:ascii="Times New Roman" w:hAnsi="Times New Roman" w:cs="Times New Roman"/>
                <w:sz w:val="24"/>
                <w:szCs w:val="24"/>
              </w:rPr>
            </w:pPr>
            <w:r w:rsidRPr="007D6A5F">
              <w:rPr>
                <w:rFonts w:ascii="Times New Roman" w:hAnsi="Times New Roman" w:cs="Times New Roman"/>
                <w:sz w:val="24"/>
                <w:szCs w:val="24"/>
              </w:rPr>
              <w:t>Тип підключення</w:t>
            </w:r>
          </w:p>
        </w:tc>
      </w:tr>
      <w:tr w:rsidR="007D6A5F" w:rsidRPr="007D6A5F" w:rsidTr="005A322D">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rPr>
                <w:rFonts w:ascii="Times New Roman" w:hAnsi="Times New Roman" w:cs="Times New Roman"/>
                <w:sz w:val="24"/>
                <w:szCs w:val="24"/>
              </w:rPr>
            </w:pPr>
            <w:r w:rsidRPr="007D6A5F">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rPr>
                <w:rFonts w:ascii="Times New Roman" w:hAnsi="Times New Roman" w:cs="Times New Roman"/>
                <w:sz w:val="24"/>
                <w:szCs w:val="24"/>
                <w:lang w:val="en-US"/>
              </w:rPr>
            </w:pPr>
            <w:r w:rsidRPr="007D6A5F">
              <w:rPr>
                <w:rFonts w:ascii="Times New Roman" w:hAnsi="Times New Roman" w:cs="Times New Roman"/>
                <w:sz w:val="24"/>
                <w:szCs w:val="24"/>
              </w:rPr>
              <w:t xml:space="preserve">Гематологічний аналізатор </w:t>
            </w:r>
            <w:r w:rsidRPr="007D6A5F">
              <w:rPr>
                <w:rFonts w:ascii="Times New Roman" w:hAnsi="Times New Roman" w:cs="Times New Roman"/>
                <w:sz w:val="24"/>
                <w:szCs w:val="24"/>
                <w:lang w:val="en-US"/>
              </w:rPr>
              <w:t>EC60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rPr>
                <w:rFonts w:ascii="Times New Roman" w:hAnsi="Times New Roman" w:cs="Times New Roman"/>
                <w:sz w:val="24"/>
                <w:szCs w:val="24"/>
              </w:rPr>
            </w:pPr>
            <w:proofErr w:type="spellStart"/>
            <w:r w:rsidRPr="007D6A5F">
              <w:rPr>
                <w:rFonts w:ascii="Times New Roman" w:hAnsi="Times New Roman" w:cs="Times New Roman"/>
                <w:sz w:val="24"/>
                <w:szCs w:val="24"/>
              </w:rPr>
              <w:t>Однонаправлений</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D6A5F" w:rsidRPr="007D6A5F" w:rsidRDefault="007D6A5F" w:rsidP="007D6A5F">
            <w:pPr>
              <w:spacing w:line="240" w:lineRule="auto"/>
              <w:rPr>
                <w:rFonts w:ascii="Times New Roman" w:hAnsi="Times New Roman" w:cs="Times New Roman"/>
                <w:sz w:val="24"/>
                <w:szCs w:val="24"/>
                <w:lang w:val="en-US"/>
              </w:rPr>
            </w:pPr>
            <w:r w:rsidRPr="007D6A5F">
              <w:rPr>
                <w:rFonts w:ascii="Times New Roman" w:hAnsi="Times New Roman" w:cs="Times New Roman"/>
                <w:sz w:val="24"/>
                <w:szCs w:val="24"/>
              </w:rPr>
              <w:t>СОМ</w:t>
            </w:r>
          </w:p>
        </w:tc>
      </w:tr>
    </w:tbl>
    <w:p w:rsidR="007D6A5F" w:rsidRPr="007D6A5F" w:rsidRDefault="007D6A5F" w:rsidP="007D6A5F">
      <w:pPr>
        <w:pStyle w:val="a6"/>
        <w:widowControl w:val="0"/>
        <w:tabs>
          <w:tab w:val="num" w:pos="1260"/>
        </w:tabs>
        <w:spacing w:before="0" w:beforeAutospacing="0" w:after="0" w:afterAutospacing="0"/>
        <w:jc w:val="right"/>
        <w:rPr>
          <w:b/>
          <w:bCs/>
          <w:lang w:val="ru-RU"/>
        </w:rPr>
      </w:pPr>
    </w:p>
    <w:p w:rsidR="007D6A5F" w:rsidRPr="007D6A5F" w:rsidRDefault="007D6A5F" w:rsidP="007D6A5F">
      <w:pPr>
        <w:pStyle w:val="aa"/>
        <w:jc w:val="both"/>
      </w:pPr>
      <w:proofErr w:type="spellStart"/>
      <w:r w:rsidRPr="007D6A5F">
        <w:t>Учасник</w:t>
      </w:r>
      <w:proofErr w:type="spellEnd"/>
      <w:r w:rsidRPr="007D6A5F">
        <w:t xml:space="preserve"> повинен </w:t>
      </w:r>
      <w:proofErr w:type="spellStart"/>
      <w:r w:rsidRPr="007D6A5F">
        <w:t>надати</w:t>
      </w:r>
      <w:proofErr w:type="spellEnd"/>
      <w:r w:rsidRPr="007D6A5F">
        <w:t xml:space="preserve"> документ, </w:t>
      </w:r>
      <w:proofErr w:type="spellStart"/>
      <w:r w:rsidRPr="007D6A5F">
        <w:t>що</w:t>
      </w:r>
      <w:proofErr w:type="spellEnd"/>
      <w:r w:rsidRPr="007D6A5F">
        <w:t xml:space="preserve"> </w:t>
      </w:r>
      <w:proofErr w:type="spellStart"/>
      <w:proofErr w:type="gramStart"/>
      <w:r w:rsidRPr="007D6A5F">
        <w:t>п</w:t>
      </w:r>
      <w:proofErr w:type="gramEnd"/>
      <w:r w:rsidRPr="007D6A5F">
        <w:t>ідтверджує</w:t>
      </w:r>
      <w:proofErr w:type="spellEnd"/>
      <w:r w:rsidRPr="007D6A5F">
        <w:t xml:space="preserve"> </w:t>
      </w:r>
      <w:proofErr w:type="spellStart"/>
      <w:r w:rsidRPr="007D6A5F">
        <w:t>авторські</w:t>
      </w:r>
      <w:proofErr w:type="spellEnd"/>
      <w:r w:rsidRPr="007D6A5F">
        <w:t xml:space="preserve"> (</w:t>
      </w:r>
      <w:proofErr w:type="spellStart"/>
      <w:r w:rsidRPr="007D6A5F">
        <w:t>майнові</w:t>
      </w:r>
      <w:proofErr w:type="spellEnd"/>
      <w:r w:rsidRPr="007D6A5F">
        <w:t xml:space="preserve">) права </w:t>
      </w:r>
      <w:proofErr w:type="spellStart"/>
      <w:r w:rsidRPr="007D6A5F">
        <w:t>учасника</w:t>
      </w:r>
      <w:proofErr w:type="spellEnd"/>
      <w:r w:rsidRPr="007D6A5F">
        <w:t xml:space="preserve"> на модуль, </w:t>
      </w:r>
      <w:proofErr w:type="spellStart"/>
      <w:r w:rsidRPr="007D6A5F">
        <w:t>або</w:t>
      </w:r>
      <w:proofErr w:type="spellEnd"/>
      <w:r w:rsidRPr="007D6A5F">
        <w:t xml:space="preserve"> </w:t>
      </w:r>
      <w:proofErr w:type="spellStart"/>
      <w:r w:rsidRPr="007D6A5F">
        <w:t>інформаційну</w:t>
      </w:r>
      <w:proofErr w:type="spellEnd"/>
      <w:r w:rsidRPr="007D6A5F">
        <w:t xml:space="preserve"> систему, </w:t>
      </w:r>
      <w:proofErr w:type="spellStart"/>
      <w:r w:rsidRPr="007D6A5F">
        <w:t>що</w:t>
      </w:r>
      <w:proofErr w:type="spellEnd"/>
      <w:r w:rsidRPr="007D6A5F">
        <w:t xml:space="preserve"> </w:t>
      </w:r>
      <w:proofErr w:type="spellStart"/>
      <w:r w:rsidRPr="007D6A5F">
        <w:t>пропонується</w:t>
      </w:r>
      <w:proofErr w:type="spellEnd"/>
      <w:r w:rsidRPr="007D6A5F">
        <w:t xml:space="preserve">. </w:t>
      </w:r>
    </w:p>
    <w:p w:rsidR="007D6A5F" w:rsidRPr="007D6A5F" w:rsidRDefault="007D6A5F" w:rsidP="007D6A5F">
      <w:pPr>
        <w:pStyle w:val="aa"/>
        <w:jc w:val="both"/>
      </w:pPr>
      <w:proofErr w:type="spellStart"/>
      <w:r w:rsidRPr="007D6A5F">
        <w:t>Учасник</w:t>
      </w:r>
      <w:proofErr w:type="spellEnd"/>
      <w:r w:rsidRPr="007D6A5F">
        <w:t xml:space="preserve"> повинен </w:t>
      </w:r>
      <w:proofErr w:type="spellStart"/>
      <w:r w:rsidRPr="007D6A5F">
        <w:t>надати</w:t>
      </w:r>
      <w:proofErr w:type="spellEnd"/>
      <w:r w:rsidRPr="007D6A5F">
        <w:t xml:space="preserve"> </w:t>
      </w:r>
      <w:proofErr w:type="spellStart"/>
      <w:r w:rsidRPr="007D6A5F">
        <w:t>сертифікат</w:t>
      </w:r>
      <w:proofErr w:type="spellEnd"/>
      <w:r w:rsidRPr="007D6A5F">
        <w:t xml:space="preserve"> </w:t>
      </w:r>
      <w:proofErr w:type="gramStart"/>
      <w:r w:rsidRPr="007D6A5F">
        <w:t>на</w:t>
      </w:r>
      <w:proofErr w:type="gramEnd"/>
      <w:r w:rsidRPr="007D6A5F">
        <w:t xml:space="preserve"> </w:t>
      </w:r>
      <w:proofErr w:type="spellStart"/>
      <w:r w:rsidRPr="007D6A5F">
        <w:t>відповідність</w:t>
      </w:r>
      <w:proofErr w:type="spellEnd"/>
      <w:r w:rsidRPr="007D6A5F">
        <w:t xml:space="preserve"> </w:t>
      </w:r>
      <w:proofErr w:type="spellStart"/>
      <w:r w:rsidRPr="007D6A5F">
        <w:t>діяльності</w:t>
      </w:r>
      <w:proofErr w:type="spellEnd"/>
      <w:r w:rsidRPr="007D6A5F">
        <w:t xml:space="preserve"> </w:t>
      </w:r>
      <w:proofErr w:type="spellStart"/>
      <w:r w:rsidRPr="007D6A5F">
        <w:t>Учасника</w:t>
      </w:r>
      <w:proofErr w:type="spellEnd"/>
      <w:r w:rsidRPr="007D6A5F">
        <w:t xml:space="preserve"> стандарту ISO/IEC 27001:2015 (ISO/IEC 27001:2013) «</w:t>
      </w:r>
      <w:proofErr w:type="spellStart"/>
      <w:r w:rsidRPr="007D6A5F">
        <w:t>Інформаційні</w:t>
      </w:r>
      <w:proofErr w:type="spellEnd"/>
      <w:r w:rsidRPr="007D6A5F">
        <w:t xml:space="preserve"> </w:t>
      </w:r>
      <w:proofErr w:type="spellStart"/>
      <w:r w:rsidRPr="007D6A5F">
        <w:t>технології</w:t>
      </w:r>
      <w:proofErr w:type="spellEnd"/>
      <w:r w:rsidRPr="007D6A5F">
        <w:t xml:space="preserve">. </w:t>
      </w:r>
      <w:proofErr w:type="spellStart"/>
      <w:r w:rsidRPr="007D6A5F">
        <w:t>Методи</w:t>
      </w:r>
      <w:proofErr w:type="spellEnd"/>
      <w:r w:rsidRPr="007D6A5F">
        <w:t xml:space="preserve"> </w:t>
      </w:r>
      <w:proofErr w:type="spellStart"/>
      <w:r w:rsidRPr="007D6A5F">
        <w:t>захисту</w:t>
      </w:r>
      <w:proofErr w:type="spellEnd"/>
      <w:r w:rsidRPr="007D6A5F">
        <w:t xml:space="preserve"> </w:t>
      </w:r>
      <w:proofErr w:type="spellStart"/>
      <w:r w:rsidRPr="007D6A5F">
        <w:t>системи</w:t>
      </w:r>
      <w:proofErr w:type="spellEnd"/>
      <w:r w:rsidRPr="007D6A5F">
        <w:t xml:space="preserve"> </w:t>
      </w:r>
      <w:proofErr w:type="spellStart"/>
      <w:r w:rsidRPr="007D6A5F">
        <w:t>управління</w:t>
      </w:r>
      <w:proofErr w:type="spellEnd"/>
      <w:r w:rsidRPr="007D6A5F">
        <w:t xml:space="preserve"> </w:t>
      </w:r>
      <w:proofErr w:type="spellStart"/>
      <w:r w:rsidRPr="007D6A5F">
        <w:t>інформаційною</w:t>
      </w:r>
      <w:proofErr w:type="spellEnd"/>
      <w:r w:rsidRPr="007D6A5F">
        <w:t xml:space="preserve"> </w:t>
      </w:r>
      <w:proofErr w:type="spellStart"/>
      <w:r w:rsidRPr="007D6A5F">
        <w:t>безпекою</w:t>
      </w:r>
      <w:proofErr w:type="spellEnd"/>
      <w:r w:rsidRPr="007D6A5F">
        <w:t xml:space="preserve">. </w:t>
      </w:r>
      <w:proofErr w:type="spellStart"/>
      <w:r w:rsidRPr="007D6A5F">
        <w:t>Вимоги</w:t>
      </w:r>
      <w:proofErr w:type="spellEnd"/>
      <w:r w:rsidRPr="007D6A5F">
        <w:t xml:space="preserve">», </w:t>
      </w:r>
      <w:proofErr w:type="spellStart"/>
      <w:r w:rsidRPr="007D6A5F">
        <w:t>дійсний</w:t>
      </w:r>
      <w:proofErr w:type="spellEnd"/>
      <w:r w:rsidRPr="007D6A5F">
        <w:t xml:space="preserve"> на дату </w:t>
      </w:r>
      <w:proofErr w:type="spellStart"/>
      <w:r w:rsidRPr="007D6A5F">
        <w:t>подання</w:t>
      </w:r>
      <w:proofErr w:type="spellEnd"/>
      <w:r w:rsidRPr="007D6A5F">
        <w:t xml:space="preserve"> </w:t>
      </w:r>
      <w:proofErr w:type="spellStart"/>
      <w:r w:rsidRPr="007D6A5F">
        <w:t>пропозицій</w:t>
      </w:r>
      <w:proofErr w:type="spellEnd"/>
      <w:r w:rsidRPr="007D6A5F">
        <w:t>.</w:t>
      </w:r>
    </w:p>
    <w:p w:rsidR="007D6A5F" w:rsidRPr="007D6A5F" w:rsidRDefault="007D6A5F" w:rsidP="007D6A5F">
      <w:pPr>
        <w:spacing w:line="240" w:lineRule="auto"/>
        <w:jc w:val="both"/>
        <w:rPr>
          <w:rFonts w:ascii="Times New Roman" w:hAnsi="Times New Roman" w:cs="Times New Roman"/>
          <w:sz w:val="24"/>
          <w:szCs w:val="24"/>
          <w:lang w:val="ru-RU"/>
        </w:rPr>
      </w:pPr>
    </w:p>
    <w:p w:rsidR="007D6A5F" w:rsidRPr="007D6A5F" w:rsidRDefault="007D6A5F" w:rsidP="007D6A5F">
      <w:pPr>
        <w:spacing w:line="240" w:lineRule="auto"/>
        <w:rPr>
          <w:rFonts w:ascii="Times New Roman" w:hAnsi="Times New Roman" w:cs="Times New Roman"/>
          <w:sz w:val="24"/>
          <w:szCs w:val="24"/>
        </w:rPr>
      </w:pPr>
    </w:p>
    <w:p w:rsidR="007D6A5F" w:rsidRPr="007D6A5F" w:rsidRDefault="007D6A5F" w:rsidP="007D6A5F">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p>
    <w:sectPr w:rsidR="007D6A5F" w:rsidRPr="007D6A5F" w:rsidSect="00EB7F2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F2" w:rsidRDefault="00FA60F2" w:rsidP="00BD1386">
      <w:pPr>
        <w:spacing w:after="0" w:line="240" w:lineRule="auto"/>
      </w:pPr>
      <w:r>
        <w:separator/>
      </w:r>
    </w:p>
  </w:endnote>
  <w:endnote w:type="continuationSeparator" w:id="0">
    <w:p w:rsidR="00FA60F2" w:rsidRDefault="00FA60F2" w:rsidP="00BD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551"/>
      <w:docPartObj>
        <w:docPartGallery w:val="Page Numbers (Bottom of Page)"/>
        <w:docPartUnique/>
      </w:docPartObj>
    </w:sdtPr>
    <w:sdtContent>
      <w:p w:rsidR="00BD2A66" w:rsidRDefault="007E0646">
        <w:pPr>
          <w:pStyle w:val="af0"/>
          <w:jc w:val="right"/>
        </w:pPr>
        <w:fldSimple w:instr=" PAGE   \* MERGEFORMAT ">
          <w:r w:rsidR="007D6A5F">
            <w:rPr>
              <w:noProof/>
            </w:rPr>
            <w:t>4</w:t>
          </w:r>
        </w:fldSimple>
      </w:p>
    </w:sdtContent>
  </w:sdt>
  <w:p w:rsidR="00BD2A66" w:rsidRDefault="00BD2A6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F2" w:rsidRDefault="00FA60F2" w:rsidP="00BD1386">
      <w:pPr>
        <w:spacing w:after="0" w:line="240" w:lineRule="auto"/>
      </w:pPr>
      <w:r>
        <w:separator/>
      </w:r>
    </w:p>
  </w:footnote>
  <w:footnote w:type="continuationSeparator" w:id="0">
    <w:p w:rsidR="00FA60F2" w:rsidRDefault="00FA60F2" w:rsidP="00BD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66" w:rsidRDefault="00BD2A6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nsid w:val="11DA051A"/>
    <w:multiLevelType w:val="multilevel"/>
    <w:tmpl w:val="EE5CD636"/>
    <w:lvl w:ilvl="0">
      <w:start w:val="1"/>
      <w:numFmt w:val="decimal"/>
      <w:lvlText w:val="%1."/>
      <w:lvlJc w:val="left"/>
      <w:pPr>
        <w:ind w:left="720" w:hanging="360"/>
      </w:pPr>
    </w:lvl>
    <w:lvl w:ilvl="1">
      <w:start w:val="1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50192D"/>
    <w:multiLevelType w:val="hybridMultilevel"/>
    <w:tmpl w:val="BE4E326E"/>
    <w:lvl w:ilvl="0" w:tplc="B5A28940">
      <w:start w:val="1"/>
      <w:numFmt w:val="decimal"/>
      <w:lvlText w:val="%1."/>
      <w:lvlJc w:val="left"/>
      <w:pPr>
        <w:ind w:left="399" w:hanging="360"/>
      </w:pPr>
      <w:rPr>
        <w:rFonts w:eastAsia="Lucida Sans Unicode" w:hint="default"/>
        <w:sz w:val="24"/>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48F81526"/>
    <w:multiLevelType w:val="hybridMultilevel"/>
    <w:tmpl w:val="9B489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850D1C"/>
    <w:multiLevelType w:val="hybridMultilevel"/>
    <w:tmpl w:val="6A781D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721965"/>
    <w:multiLevelType w:val="hybridMultilevel"/>
    <w:tmpl w:val="4D508A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4C114C6"/>
    <w:multiLevelType w:val="hybridMultilevel"/>
    <w:tmpl w:val="5018F7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
    <w:nsid w:val="7C86648E"/>
    <w:multiLevelType w:val="hybridMultilevel"/>
    <w:tmpl w:val="5A58528A"/>
    <w:lvl w:ilvl="0" w:tplc="5CA468C8">
      <w:start w:val="2"/>
      <w:numFmt w:val="upperRoman"/>
      <w:lvlText w:val="%1."/>
      <w:lvlJc w:val="left"/>
      <w:pPr>
        <w:ind w:left="736" w:hanging="72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nsid w:val="7EEA31D0"/>
    <w:multiLevelType w:val="multilevel"/>
    <w:tmpl w:val="74C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7"/>
  </w:num>
  <w:num w:numId="5">
    <w:abstractNumId w:val="9"/>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F1B56"/>
    <w:rsid w:val="00011F84"/>
    <w:rsid w:val="0003101E"/>
    <w:rsid w:val="0003215D"/>
    <w:rsid w:val="00036E85"/>
    <w:rsid w:val="0005591F"/>
    <w:rsid w:val="00067366"/>
    <w:rsid w:val="00072734"/>
    <w:rsid w:val="0009768D"/>
    <w:rsid w:val="000A1A8E"/>
    <w:rsid w:val="000B00CE"/>
    <w:rsid w:val="000D4226"/>
    <w:rsid w:val="000D6572"/>
    <w:rsid w:val="001069F1"/>
    <w:rsid w:val="001133E0"/>
    <w:rsid w:val="001266A9"/>
    <w:rsid w:val="00161B9E"/>
    <w:rsid w:val="00166332"/>
    <w:rsid w:val="0017733D"/>
    <w:rsid w:val="00191F7B"/>
    <w:rsid w:val="001B31F2"/>
    <w:rsid w:val="001C3054"/>
    <w:rsid w:val="001C673A"/>
    <w:rsid w:val="001F4BB3"/>
    <w:rsid w:val="00200D4C"/>
    <w:rsid w:val="00207FC3"/>
    <w:rsid w:val="00212553"/>
    <w:rsid w:val="002149EA"/>
    <w:rsid w:val="00221AA7"/>
    <w:rsid w:val="002363C2"/>
    <w:rsid w:val="002374E2"/>
    <w:rsid w:val="00237524"/>
    <w:rsid w:val="00246307"/>
    <w:rsid w:val="00246B27"/>
    <w:rsid w:val="00273F95"/>
    <w:rsid w:val="00285CD4"/>
    <w:rsid w:val="00292305"/>
    <w:rsid w:val="0029447C"/>
    <w:rsid w:val="002A0518"/>
    <w:rsid w:val="002A41C5"/>
    <w:rsid w:val="002A69E5"/>
    <w:rsid w:val="002A7029"/>
    <w:rsid w:val="002B2085"/>
    <w:rsid w:val="002E7740"/>
    <w:rsid w:val="002F06D4"/>
    <w:rsid w:val="002F0C95"/>
    <w:rsid w:val="003038B3"/>
    <w:rsid w:val="00311527"/>
    <w:rsid w:val="0033327E"/>
    <w:rsid w:val="00335D89"/>
    <w:rsid w:val="003464E6"/>
    <w:rsid w:val="003469DB"/>
    <w:rsid w:val="00363A59"/>
    <w:rsid w:val="00365CC7"/>
    <w:rsid w:val="00370CFF"/>
    <w:rsid w:val="00373DA4"/>
    <w:rsid w:val="00382108"/>
    <w:rsid w:val="003857AE"/>
    <w:rsid w:val="00387ABA"/>
    <w:rsid w:val="003A2704"/>
    <w:rsid w:val="003B064B"/>
    <w:rsid w:val="003D079F"/>
    <w:rsid w:val="003D3BC7"/>
    <w:rsid w:val="003D6B06"/>
    <w:rsid w:val="003E1CED"/>
    <w:rsid w:val="003E2AC1"/>
    <w:rsid w:val="003E3C12"/>
    <w:rsid w:val="00405829"/>
    <w:rsid w:val="00407446"/>
    <w:rsid w:val="0041490D"/>
    <w:rsid w:val="00424255"/>
    <w:rsid w:val="004404A8"/>
    <w:rsid w:val="004715D1"/>
    <w:rsid w:val="00472F9E"/>
    <w:rsid w:val="00475425"/>
    <w:rsid w:val="004A5076"/>
    <w:rsid w:val="004C1C42"/>
    <w:rsid w:val="004C60F7"/>
    <w:rsid w:val="004E68CC"/>
    <w:rsid w:val="004E7393"/>
    <w:rsid w:val="004F0D2C"/>
    <w:rsid w:val="00512E6B"/>
    <w:rsid w:val="0055245D"/>
    <w:rsid w:val="00553BAC"/>
    <w:rsid w:val="00560E62"/>
    <w:rsid w:val="0057622A"/>
    <w:rsid w:val="00585D70"/>
    <w:rsid w:val="00595873"/>
    <w:rsid w:val="005A5193"/>
    <w:rsid w:val="005B64C7"/>
    <w:rsid w:val="005D600D"/>
    <w:rsid w:val="00612A6B"/>
    <w:rsid w:val="00620E79"/>
    <w:rsid w:val="00633E18"/>
    <w:rsid w:val="00635D39"/>
    <w:rsid w:val="00644487"/>
    <w:rsid w:val="00661007"/>
    <w:rsid w:val="006649C7"/>
    <w:rsid w:val="006769EC"/>
    <w:rsid w:val="00687576"/>
    <w:rsid w:val="006876F9"/>
    <w:rsid w:val="0069529C"/>
    <w:rsid w:val="006A0001"/>
    <w:rsid w:val="006C32D1"/>
    <w:rsid w:val="006E13FF"/>
    <w:rsid w:val="006E1AAC"/>
    <w:rsid w:val="006F6DAE"/>
    <w:rsid w:val="00704C6A"/>
    <w:rsid w:val="00711FE1"/>
    <w:rsid w:val="00713F7E"/>
    <w:rsid w:val="007266D0"/>
    <w:rsid w:val="00776B1E"/>
    <w:rsid w:val="00781ACA"/>
    <w:rsid w:val="00790EE4"/>
    <w:rsid w:val="00796013"/>
    <w:rsid w:val="007B0362"/>
    <w:rsid w:val="007B7234"/>
    <w:rsid w:val="007C0F35"/>
    <w:rsid w:val="007D573F"/>
    <w:rsid w:val="007D6A5F"/>
    <w:rsid w:val="007E0646"/>
    <w:rsid w:val="007E4E5B"/>
    <w:rsid w:val="007E55A0"/>
    <w:rsid w:val="007F1B56"/>
    <w:rsid w:val="00807D20"/>
    <w:rsid w:val="00821BC0"/>
    <w:rsid w:val="00835CBB"/>
    <w:rsid w:val="00867746"/>
    <w:rsid w:val="00867BC5"/>
    <w:rsid w:val="008759BF"/>
    <w:rsid w:val="00876CB3"/>
    <w:rsid w:val="008975A7"/>
    <w:rsid w:val="008A4D99"/>
    <w:rsid w:val="008C734C"/>
    <w:rsid w:val="008C7F77"/>
    <w:rsid w:val="008D66BA"/>
    <w:rsid w:val="008D7175"/>
    <w:rsid w:val="00900A0F"/>
    <w:rsid w:val="00905FD9"/>
    <w:rsid w:val="0090607B"/>
    <w:rsid w:val="009105FE"/>
    <w:rsid w:val="009150E1"/>
    <w:rsid w:val="009221B8"/>
    <w:rsid w:val="00934CD4"/>
    <w:rsid w:val="009350E5"/>
    <w:rsid w:val="0095058C"/>
    <w:rsid w:val="00950C26"/>
    <w:rsid w:val="00951717"/>
    <w:rsid w:val="009573BB"/>
    <w:rsid w:val="00985680"/>
    <w:rsid w:val="00986473"/>
    <w:rsid w:val="009A474B"/>
    <w:rsid w:val="009C29B2"/>
    <w:rsid w:val="009D328C"/>
    <w:rsid w:val="009D7B65"/>
    <w:rsid w:val="009F116F"/>
    <w:rsid w:val="00A0288C"/>
    <w:rsid w:val="00A10004"/>
    <w:rsid w:val="00A13D2A"/>
    <w:rsid w:val="00A172DD"/>
    <w:rsid w:val="00A33FF4"/>
    <w:rsid w:val="00A50336"/>
    <w:rsid w:val="00A53E02"/>
    <w:rsid w:val="00A54079"/>
    <w:rsid w:val="00A55CD1"/>
    <w:rsid w:val="00A579E7"/>
    <w:rsid w:val="00A66309"/>
    <w:rsid w:val="00A72650"/>
    <w:rsid w:val="00A7721D"/>
    <w:rsid w:val="00A90028"/>
    <w:rsid w:val="00AA2010"/>
    <w:rsid w:val="00AA653A"/>
    <w:rsid w:val="00AC3403"/>
    <w:rsid w:val="00AD6C21"/>
    <w:rsid w:val="00AE7FC2"/>
    <w:rsid w:val="00B00693"/>
    <w:rsid w:val="00B041FC"/>
    <w:rsid w:val="00B21BDD"/>
    <w:rsid w:val="00B24718"/>
    <w:rsid w:val="00B300BB"/>
    <w:rsid w:val="00B45A14"/>
    <w:rsid w:val="00B55195"/>
    <w:rsid w:val="00B62CB9"/>
    <w:rsid w:val="00B67313"/>
    <w:rsid w:val="00B77C8F"/>
    <w:rsid w:val="00B807C4"/>
    <w:rsid w:val="00B86ADB"/>
    <w:rsid w:val="00B96280"/>
    <w:rsid w:val="00BD1386"/>
    <w:rsid w:val="00BD2A66"/>
    <w:rsid w:val="00BD5787"/>
    <w:rsid w:val="00BD79D7"/>
    <w:rsid w:val="00BE0135"/>
    <w:rsid w:val="00BF3C4D"/>
    <w:rsid w:val="00BF4DFD"/>
    <w:rsid w:val="00C21265"/>
    <w:rsid w:val="00C25FAE"/>
    <w:rsid w:val="00C3272D"/>
    <w:rsid w:val="00C36032"/>
    <w:rsid w:val="00C542C5"/>
    <w:rsid w:val="00C56A2F"/>
    <w:rsid w:val="00C62DA3"/>
    <w:rsid w:val="00C7040B"/>
    <w:rsid w:val="00C713D3"/>
    <w:rsid w:val="00C74413"/>
    <w:rsid w:val="00C76E23"/>
    <w:rsid w:val="00C811AE"/>
    <w:rsid w:val="00C94D01"/>
    <w:rsid w:val="00CB0114"/>
    <w:rsid w:val="00CC1344"/>
    <w:rsid w:val="00CC6EEA"/>
    <w:rsid w:val="00CD3047"/>
    <w:rsid w:val="00CE4C30"/>
    <w:rsid w:val="00CE50E1"/>
    <w:rsid w:val="00CE69F7"/>
    <w:rsid w:val="00CF5B41"/>
    <w:rsid w:val="00D12012"/>
    <w:rsid w:val="00D14900"/>
    <w:rsid w:val="00D16B66"/>
    <w:rsid w:val="00D40CEB"/>
    <w:rsid w:val="00D460C7"/>
    <w:rsid w:val="00DB0443"/>
    <w:rsid w:val="00DC2099"/>
    <w:rsid w:val="00E019B0"/>
    <w:rsid w:val="00E115E6"/>
    <w:rsid w:val="00E22BB7"/>
    <w:rsid w:val="00E247D0"/>
    <w:rsid w:val="00E43461"/>
    <w:rsid w:val="00E5119D"/>
    <w:rsid w:val="00E64C28"/>
    <w:rsid w:val="00E8395B"/>
    <w:rsid w:val="00EB6179"/>
    <w:rsid w:val="00EB7F2C"/>
    <w:rsid w:val="00EC2CE0"/>
    <w:rsid w:val="00EE03B9"/>
    <w:rsid w:val="00EE4EBA"/>
    <w:rsid w:val="00F528C3"/>
    <w:rsid w:val="00F547F5"/>
    <w:rsid w:val="00F60FC1"/>
    <w:rsid w:val="00F70B97"/>
    <w:rsid w:val="00F73B2C"/>
    <w:rsid w:val="00F925C0"/>
    <w:rsid w:val="00FA60F2"/>
    <w:rsid w:val="00FB268A"/>
    <w:rsid w:val="00FD2DB8"/>
    <w:rsid w:val="00FD637B"/>
    <w:rsid w:val="00FE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2C"/>
  </w:style>
  <w:style w:type="paragraph" w:styleId="1">
    <w:name w:val="heading 1"/>
    <w:basedOn w:val="a"/>
    <w:link w:val="10"/>
    <w:uiPriority w:val="9"/>
    <w:qFormat/>
    <w:rsid w:val="00821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55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fmc1">
    <w:name w:val="xfmc1"/>
    <w:basedOn w:val="a"/>
    <w:rsid w:val="00C7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6E2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011F8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Без интервала Знак Знак Знак"/>
    <w:link w:val="a5"/>
    <w:locked/>
    <w:rsid w:val="00F547F5"/>
    <w:rPr>
      <w:rFonts w:cs="Times New Roman CYR"/>
    </w:rPr>
  </w:style>
  <w:style w:type="paragraph" w:customStyle="1" w:styleId="a5">
    <w:name w:val="Без интервала Знак Знак"/>
    <w:link w:val="a4"/>
    <w:qFormat/>
    <w:rsid w:val="00F547F5"/>
    <w:pPr>
      <w:spacing w:after="0" w:line="240" w:lineRule="auto"/>
    </w:pPr>
    <w:rPr>
      <w:rFonts w:cs="Times New Roman CYR"/>
    </w:rPr>
  </w:style>
  <w:style w:type="paragraph" w:styleId="HTML">
    <w:name w:val="HTML Preformatted"/>
    <w:aliases w:val="Знак,Знак9"/>
    <w:basedOn w:val="a"/>
    <w:link w:val="HTML0"/>
    <w:uiPriority w:val="99"/>
    <w:qFormat/>
    <w:rsid w:val="006E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1,Знак9 Знак1"/>
    <w:basedOn w:val="a0"/>
    <w:link w:val="HTML"/>
    <w:uiPriority w:val="99"/>
    <w:rsid w:val="006E1AAC"/>
    <w:rPr>
      <w:rFonts w:ascii="Courier New" w:eastAsia="Times New Roman" w:hAnsi="Courier New" w:cs="Times New Roman"/>
      <w:color w:val="000000"/>
      <w:sz w:val="18"/>
      <w:szCs w:val="18"/>
      <w:lang w:val="ru-RU" w:eastAsia="ru-RU"/>
    </w:rPr>
  </w:style>
  <w:style w:type="paragraph" w:styleId="a6">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7"/>
    <w:uiPriority w:val="99"/>
    <w:unhideWhenUsed/>
    <w:qFormat/>
    <w:rsid w:val="0033327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3327E"/>
    <w:rPr>
      <w:b/>
      <w:bCs/>
    </w:rPr>
  </w:style>
  <w:style w:type="paragraph" w:customStyle="1" w:styleId="11">
    <w:name w:val="Обычный1"/>
    <w:rsid w:val="003464E6"/>
    <w:pPr>
      <w:spacing w:after="0" w:line="240" w:lineRule="auto"/>
    </w:pPr>
    <w:rPr>
      <w:rFonts w:ascii="Times New Roman" w:eastAsia="Times New Roman" w:hAnsi="Times New Roman" w:cs="Times New Roman"/>
      <w:sz w:val="24"/>
      <w:szCs w:val="20"/>
      <w:lang w:eastAsia="ru-RU"/>
    </w:rPr>
  </w:style>
  <w:style w:type="paragraph" w:styleId="a9">
    <w:name w:val="Block Text"/>
    <w:basedOn w:val="a"/>
    <w:rsid w:val="00F925C0"/>
    <w:pPr>
      <w:spacing w:after="0" w:line="240" w:lineRule="auto"/>
      <w:ind w:left="567" w:right="397"/>
    </w:pPr>
    <w:rPr>
      <w:rFonts w:ascii="Times New Roman" w:eastAsia="Times New Roman" w:hAnsi="Times New Roman" w:cs="Times New Roman"/>
      <w:sz w:val="28"/>
      <w:szCs w:val="20"/>
      <w:lang w:eastAsia="ru-RU"/>
    </w:rPr>
  </w:style>
  <w:style w:type="paragraph" w:styleId="aa">
    <w:name w:val="Body Text"/>
    <w:basedOn w:val="a"/>
    <w:link w:val="ab"/>
    <w:uiPriority w:val="99"/>
    <w:rsid w:val="00F925C0"/>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F925C0"/>
    <w:rPr>
      <w:rFonts w:ascii="Times New Roman" w:eastAsia="Times New Roman" w:hAnsi="Times New Roman" w:cs="Times New Roman"/>
      <w:sz w:val="24"/>
      <w:szCs w:val="24"/>
      <w:lang w:val="ru-RU" w:eastAsia="ru-RU"/>
    </w:rPr>
  </w:style>
  <w:style w:type="character" w:styleId="ac">
    <w:name w:val="Emphasis"/>
    <w:basedOn w:val="a0"/>
    <w:uiPriority w:val="20"/>
    <w:qFormat/>
    <w:rsid w:val="007B0362"/>
    <w:rPr>
      <w:i/>
      <w:iCs/>
    </w:rPr>
  </w:style>
  <w:style w:type="paragraph" w:customStyle="1" w:styleId="Heading2">
    <w:name w:val="Heading 2"/>
    <w:basedOn w:val="a"/>
    <w:uiPriority w:val="1"/>
    <w:qFormat/>
    <w:rsid w:val="007266D0"/>
    <w:pPr>
      <w:widowControl w:val="0"/>
      <w:autoSpaceDE w:val="0"/>
      <w:autoSpaceDN w:val="0"/>
      <w:spacing w:after="0" w:line="240" w:lineRule="auto"/>
      <w:ind w:left="626" w:right="636"/>
      <w:jc w:val="center"/>
      <w:outlineLvl w:val="2"/>
    </w:pPr>
    <w:rPr>
      <w:rFonts w:ascii="Times New Roman" w:eastAsia="Times New Roman" w:hAnsi="Times New Roman" w:cs="Times New Roman"/>
      <w:b/>
      <w:bCs/>
      <w:i/>
      <w:iCs/>
      <w:sz w:val="24"/>
      <w:szCs w:val="24"/>
      <w:lang w:eastAsia="en-US"/>
    </w:rPr>
  </w:style>
  <w:style w:type="character" w:customStyle="1" w:styleId="10">
    <w:name w:val="Заголовок 1 Знак"/>
    <w:basedOn w:val="a0"/>
    <w:link w:val="1"/>
    <w:uiPriority w:val="9"/>
    <w:rsid w:val="00821BC0"/>
    <w:rPr>
      <w:rFonts w:ascii="Times New Roman" w:eastAsia="Times New Roman" w:hAnsi="Times New Roman" w:cs="Times New Roman"/>
      <w:b/>
      <w:bCs/>
      <w:kern w:val="36"/>
      <w:sz w:val="48"/>
      <w:szCs w:val="48"/>
    </w:rPr>
  </w:style>
  <w:style w:type="character" w:customStyle="1" w:styleId="ng-binding">
    <w:name w:val="ng-binding"/>
    <w:basedOn w:val="a0"/>
    <w:rsid w:val="007D573F"/>
  </w:style>
  <w:style w:type="character" w:styleId="ad">
    <w:name w:val="Hyperlink"/>
    <w:basedOn w:val="a0"/>
    <w:uiPriority w:val="99"/>
    <w:semiHidden/>
    <w:unhideWhenUsed/>
    <w:rsid w:val="00C74413"/>
    <w:rPr>
      <w:color w:val="0000FF"/>
      <w:u w:val="single"/>
    </w:rPr>
  </w:style>
  <w:style w:type="paragraph" w:styleId="ae">
    <w:name w:val="header"/>
    <w:basedOn w:val="a"/>
    <w:link w:val="af"/>
    <w:uiPriority w:val="99"/>
    <w:semiHidden/>
    <w:unhideWhenUsed/>
    <w:rsid w:val="00BD138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D1386"/>
  </w:style>
  <w:style w:type="paragraph" w:styleId="af0">
    <w:name w:val="footer"/>
    <w:basedOn w:val="a"/>
    <w:link w:val="af1"/>
    <w:uiPriority w:val="99"/>
    <w:unhideWhenUsed/>
    <w:rsid w:val="00BD13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1386"/>
  </w:style>
  <w:style w:type="paragraph" w:customStyle="1" w:styleId="WW-1">
    <w:name w:val="WW-Базовый1"/>
    <w:rsid w:val="00BD1386"/>
    <w:pPr>
      <w:suppressAutoHyphens/>
      <w:spacing w:after="0" w:line="240" w:lineRule="auto"/>
    </w:pPr>
    <w:rPr>
      <w:rFonts w:ascii="Times New Roman" w:eastAsia="Arial" w:hAnsi="Times New Roman" w:cs="Times New Roman"/>
      <w:color w:val="00000A"/>
      <w:kern w:val="2"/>
      <w:sz w:val="20"/>
      <w:szCs w:val="20"/>
      <w:lang w:eastAsia="zh-CN"/>
    </w:rPr>
  </w:style>
  <w:style w:type="paragraph" w:customStyle="1" w:styleId="normal">
    <w:name w:val="normal"/>
    <w:rsid w:val="00BD1386"/>
    <w:pPr>
      <w:spacing w:after="0" w:line="240" w:lineRule="auto"/>
    </w:pPr>
    <w:rPr>
      <w:rFonts w:ascii="Times New Roman" w:eastAsia="Times New Roman" w:hAnsi="Times New Roman" w:cs="Times New Roman"/>
      <w:sz w:val="20"/>
      <w:szCs w:val="20"/>
    </w:rPr>
  </w:style>
  <w:style w:type="character" w:customStyle="1" w:styleId="HTML1">
    <w:name w:val="Стандартный HTML Знак1"/>
    <w:aliases w:val="Знак Знак,Знак9 Знак"/>
    <w:locked/>
    <w:rsid w:val="00285CD4"/>
    <w:rPr>
      <w:rFonts w:ascii="Courier New" w:eastAsia="Times New Roman" w:hAnsi="Courier New" w:cs="Times New Roman"/>
      <w:sz w:val="20"/>
      <w:szCs w:val="20"/>
      <w:lang w:eastAsia="ar-SA"/>
    </w:rPr>
  </w:style>
  <w:style w:type="paragraph" w:styleId="af2">
    <w:name w:val="No Spacing"/>
    <w:link w:val="af3"/>
    <w:uiPriority w:val="1"/>
    <w:qFormat/>
    <w:rsid w:val="004715D1"/>
    <w:pPr>
      <w:spacing w:after="120"/>
    </w:pPr>
    <w:rPr>
      <w:rFonts w:ascii="Calibri" w:eastAsia="Calibri" w:hAnsi="Calibri" w:cs="Calibri"/>
    </w:rPr>
  </w:style>
  <w:style w:type="character" w:customStyle="1" w:styleId="af3">
    <w:name w:val="Без интервала Знак"/>
    <w:link w:val="af2"/>
    <w:uiPriority w:val="1"/>
    <w:rsid w:val="004715D1"/>
    <w:rPr>
      <w:rFonts w:ascii="Calibri" w:eastAsia="Calibri" w:hAnsi="Calibri" w:cs="Calibri"/>
    </w:rPr>
  </w:style>
  <w:style w:type="paragraph" w:styleId="af4">
    <w:name w:val="Plain Text"/>
    <w:basedOn w:val="a"/>
    <w:link w:val="12"/>
    <w:unhideWhenUsed/>
    <w:rsid w:val="001C673A"/>
    <w:pPr>
      <w:spacing w:after="0" w:line="240" w:lineRule="auto"/>
    </w:pPr>
    <w:rPr>
      <w:rFonts w:ascii="Courier New" w:eastAsia="Times New Roman" w:hAnsi="Courier New" w:cs="Courier New"/>
      <w:sz w:val="20"/>
      <w:szCs w:val="20"/>
      <w:lang w:val="ru-RU" w:eastAsia="ru-RU"/>
    </w:rPr>
  </w:style>
  <w:style w:type="character" w:customStyle="1" w:styleId="af5">
    <w:name w:val="Текст Знак"/>
    <w:basedOn w:val="a0"/>
    <w:link w:val="af4"/>
    <w:uiPriority w:val="99"/>
    <w:semiHidden/>
    <w:rsid w:val="001C673A"/>
    <w:rPr>
      <w:rFonts w:ascii="Consolas" w:hAnsi="Consolas" w:cs="Consolas"/>
      <w:sz w:val="21"/>
      <w:szCs w:val="21"/>
    </w:rPr>
  </w:style>
  <w:style w:type="character" w:customStyle="1" w:styleId="12">
    <w:name w:val="Текст Знак1"/>
    <w:link w:val="af4"/>
    <w:locked/>
    <w:rsid w:val="001C673A"/>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semiHidden/>
    <w:rsid w:val="0005591F"/>
    <w:rPr>
      <w:rFonts w:asciiTheme="majorHAnsi" w:eastAsiaTheme="majorEastAsia" w:hAnsiTheme="majorHAnsi" w:cstheme="majorBidi"/>
      <w:b/>
      <w:bCs/>
      <w:color w:val="4F81BD" w:themeColor="accent1"/>
    </w:rPr>
  </w:style>
  <w:style w:type="paragraph" w:styleId="af6">
    <w:name w:val="List Paragraph"/>
    <w:basedOn w:val="a"/>
    <w:uiPriority w:val="34"/>
    <w:qFormat/>
    <w:rsid w:val="0005591F"/>
    <w:pPr>
      <w:ind w:left="720"/>
      <w:contextualSpacing/>
    </w:pPr>
  </w:style>
  <w:style w:type="table" w:customStyle="1" w:styleId="TableNormal">
    <w:name w:val="Table Normal"/>
    <w:uiPriority w:val="2"/>
    <w:semiHidden/>
    <w:unhideWhenUsed/>
    <w:qFormat/>
    <w:rsid w:val="001773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hgkelc">
    <w:name w:val="hgkelc"/>
    <w:basedOn w:val="a0"/>
    <w:rsid w:val="0017733D"/>
  </w:style>
  <w:style w:type="paragraph" w:styleId="af7">
    <w:name w:val="Balloon Text"/>
    <w:basedOn w:val="a"/>
    <w:link w:val="af8"/>
    <w:uiPriority w:val="99"/>
    <w:semiHidden/>
    <w:unhideWhenUsed/>
    <w:rsid w:val="0017733D"/>
    <w:pPr>
      <w:spacing w:after="0" w:line="240" w:lineRule="auto"/>
    </w:pPr>
    <w:rPr>
      <w:rFonts w:ascii="Tahoma" w:eastAsiaTheme="minorHAnsi" w:hAnsi="Tahoma" w:cs="Tahoma"/>
      <w:sz w:val="16"/>
      <w:szCs w:val="16"/>
      <w:lang w:val="ru-RU" w:eastAsia="en-US"/>
    </w:rPr>
  </w:style>
  <w:style w:type="character" w:customStyle="1" w:styleId="af8">
    <w:name w:val="Текст выноски Знак"/>
    <w:basedOn w:val="a0"/>
    <w:link w:val="af7"/>
    <w:uiPriority w:val="99"/>
    <w:semiHidden/>
    <w:rsid w:val="0017733D"/>
    <w:rPr>
      <w:rFonts w:ascii="Tahoma" w:eastAsiaTheme="minorHAnsi" w:hAnsi="Tahoma" w:cs="Tahoma"/>
      <w:sz w:val="16"/>
      <w:szCs w:val="16"/>
      <w:lang w:val="ru-RU" w:eastAsia="en-US"/>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7D6A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27685">
      <w:bodyDiv w:val="1"/>
      <w:marLeft w:val="0"/>
      <w:marRight w:val="0"/>
      <w:marTop w:val="0"/>
      <w:marBottom w:val="0"/>
      <w:divBdr>
        <w:top w:val="none" w:sz="0" w:space="0" w:color="auto"/>
        <w:left w:val="none" w:sz="0" w:space="0" w:color="auto"/>
        <w:bottom w:val="none" w:sz="0" w:space="0" w:color="auto"/>
        <w:right w:val="none" w:sz="0" w:space="0" w:color="auto"/>
      </w:divBdr>
    </w:div>
    <w:div w:id="153451795">
      <w:bodyDiv w:val="1"/>
      <w:marLeft w:val="0"/>
      <w:marRight w:val="0"/>
      <w:marTop w:val="0"/>
      <w:marBottom w:val="0"/>
      <w:divBdr>
        <w:top w:val="none" w:sz="0" w:space="0" w:color="auto"/>
        <w:left w:val="none" w:sz="0" w:space="0" w:color="auto"/>
        <w:bottom w:val="none" w:sz="0" w:space="0" w:color="auto"/>
        <w:right w:val="none" w:sz="0" w:space="0" w:color="auto"/>
      </w:divBdr>
    </w:div>
    <w:div w:id="398557105">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54912484">
      <w:bodyDiv w:val="1"/>
      <w:marLeft w:val="0"/>
      <w:marRight w:val="0"/>
      <w:marTop w:val="0"/>
      <w:marBottom w:val="0"/>
      <w:divBdr>
        <w:top w:val="none" w:sz="0" w:space="0" w:color="auto"/>
        <w:left w:val="none" w:sz="0" w:space="0" w:color="auto"/>
        <w:bottom w:val="none" w:sz="0" w:space="0" w:color="auto"/>
        <w:right w:val="none" w:sz="0" w:space="0" w:color="auto"/>
      </w:divBdr>
    </w:div>
    <w:div w:id="720711403">
      <w:bodyDiv w:val="1"/>
      <w:marLeft w:val="0"/>
      <w:marRight w:val="0"/>
      <w:marTop w:val="0"/>
      <w:marBottom w:val="0"/>
      <w:divBdr>
        <w:top w:val="none" w:sz="0" w:space="0" w:color="auto"/>
        <w:left w:val="none" w:sz="0" w:space="0" w:color="auto"/>
        <w:bottom w:val="none" w:sz="0" w:space="0" w:color="auto"/>
        <w:right w:val="none" w:sz="0" w:space="0" w:color="auto"/>
      </w:divBdr>
    </w:div>
    <w:div w:id="752508122">
      <w:bodyDiv w:val="1"/>
      <w:marLeft w:val="0"/>
      <w:marRight w:val="0"/>
      <w:marTop w:val="0"/>
      <w:marBottom w:val="0"/>
      <w:divBdr>
        <w:top w:val="none" w:sz="0" w:space="0" w:color="auto"/>
        <w:left w:val="none" w:sz="0" w:space="0" w:color="auto"/>
        <w:bottom w:val="none" w:sz="0" w:space="0" w:color="auto"/>
        <w:right w:val="none" w:sz="0" w:space="0" w:color="auto"/>
      </w:divBdr>
    </w:div>
    <w:div w:id="841044577">
      <w:bodyDiv w:val="1"/>
      <w:marLeft w:val="0"/>
      <w:marRight w:val="0"/>
      <w:marTop w:val="0"/>
      <w:marBottom w:val="0"/>
      <w:divBdr>
        <w:top w:val="none" w:sz="0" w:space="0" w:color="auto"/>
        <w:left w:val="none" w:sz="0" w:space="0" w:color="auto"/>
        <w:bottom w:val="none" w:sz="0" w:space="0" w:color="auto"/>
        <w:right w:val="none" w:sz="0" w:space="0" w:color="auto"/>
      </w:divBdr>
    </w:div>
    <w:div w:id="1034886002">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1306748">
      <w:bodyDiv w:val="1"/>
      <w:marLeft w:val="0"/>
      <w:marRight w:val="0"/>
      <w:marTop w:val="0"/>
      <w:marBottom w:val="0"/>
      <w:divBdr>
        <w:top w:val="none" w:sz="0" w:space="0" w:color="auto"/>
        <w:left w:val="none" w:sz="0" w:space="0" w:color="auto"/>
        <w:bottom w:val="none" w:sz="0" w:space="0" w:color="auto"/>
        <w:right w:val="none" w:sz="0" w:space="0" w:color="auto"/>
      </w:divBdr>
    </w:div>
    <w:div w:id="1313291522">
      <w:bodyDiv w:val="1"/>
      <w:marLeft w:val="0"/>
      <w:marRight w:val="0"/>
      <w:marTop w:val="0"/>
      <w:marBottom w:val="0"/>
      <w:divBdr>
        <w:top w:val="none" w:sz="0" w:space="0" w:color="auto"/>
        <w:left w:val="none" w:sz="0" w:space="0" w:color="auto"/>
        <w:bottom w:val="none" w:sz="0" w:space="0" w:color="auto"/>
        <w:right w:val="none" w:sz="0" w:space="0" w:color="auto"/>
      </w:divBdr>
    </w:div>
    <w:div w:id="1624581763">
      <w:bodyDiv w:val="1"/>
      <w:marLeft w:val="0"/>
      <w:marRight w:val="0"/>
      <w:marTop w:val="0"/>
      <w:marBottom w:val="0"/>
      <w:divBdr>
        <w:top w:val="none" w:sz="0" w:space="0" w:color="auto"/>
        <w:left w:val="none" w:sz="0" w:space="0" w:color="auto"/>
        <w:bottom w:val="none" w:sz="0" w:space="0" w:color="auto"/>
        <w:right w:val="none" w:sz="0" w:space="0" w:color="auto"/>
      </w:divBdr>
    </w:div>
    <w:div w:id="1707563770">
      <w:bodyDiv w:val="1"/>
      <w:marLeft w:val="0"/>
      <w:marRight w:val="0"/>
      <w:marTop w:val="0"/>
      <w:marBottom w:val="0"/>
      <w:divBdr>
        <w:top w:val="none" w:sz="0" w:space="0" w:color="auto"/>
        <w:left w:val="none" w:sz="0" w:space="0" w:color="auto"/>
        <w:bottom w:val="none" w:sz="0" w:space="0" w:color="auto"/>
        <w:right w:val="none" w:sz="0" w:space="0" w:color="auto"/>
      </w:divBdr>
    </w:div>
    <w:div w:id="1739471762">
      <w:bodyDiv w:val="1"/>
      <w:marLeft w:val="0"/>
      <w:marRight w:val="0"/>
      <w:marTop w:val="0"/>
      <w:marBottom w:val="0"/>
      <w:divBdr>
        <w:top w:val="none" w:sz="0" w:space="0" w:color="auto"/>
        <w:left w:val="none" w:sz="0" w:space="0" w:color="auto"/>
        <w:bottom w:val="none" w:sz="0" w:space="0" w:color="auto"/>
        <w:right w:val="none" w:sz="0" w:space="0" w:color="auto"/>
      </w:divBdr>
    </w:div>
    <w:div w:id="1892232918">
      <w:bodyDiv w:val="1"/>
      <w:marLeft w:val="0"/>
      <w:marRight w:val="0"/>
      <w:marTop w:val="0"/>
      <w:marBottom w:val="0"/>
      <w:divBdr>
        <w:top w:val="none" w:sz="0" w:space="0" w:color="auto"/>
        <w:left w:val="none" w:sz="0" w:space="0" w:color="auto"/>
        <w:bottom w:val="none" w:sz="0" w:space="0" w:color="auto"/>
        <w:right w:val="none" w:sz="0" w:space="0" w:color="auto"/>
      </w:divBdr>
    </w:div>
    <w:div w:id="1912544754">
      <w:bodyDiv w:val="1"/>
      <w:marLeft w:val="0"/>
      <w:marRight w:val="0"/>
      <w:marTop w:val="0"/>
      <w:marBottom w:val="0"/>
      <w:divBdr>
        <w:top w:val="none" w:sz="0" w:space="0" w:color="auto"/>
        <w:left w:val="none" w:sz="0" w:space="0" w:color="auto"/>
        <w:bottom w:val="none" w:sz="0" w:space="0" w:color="auto"/>
        <w:right w:val="none" w:sz="0" w:space="0" w:color="auto"/>
      </w:divBdr>
    </w:div>
    <w:div w:id="1961179356">
      <w:bodyDiv w:val="1"/>
      <w:marLeft w:val="0"/>
      <w:marRight w:val="0"/>
      <w:marTop w:val="0"/>
      <w:marBottom w:val="0"/>
      <w:divBdr>
        <w:top w:val="none" w:sz="0" w:space="0" w:color="auto"/>
        <w:left w:val="none" w:sz="0" w:space="0" w:color="auto"/>
        <w:bottom w:val="none" w:sz="0" w:space="0" w:color="auto"/>
        <w:right w:val="none" w:sz="0" w:space="0" w:color="auto"/>
      </w:divBdr>
    </w:div>
    <w:div w:id="2025014857">
      <w:bodyDiv w:val="1"/>
      <w:marLeft w:val="0"/>
      <w:marRight w:val="0"/>
      <w:marTop w:val="0"/>
      <w:marBottom w:val="0"/>
      <w:divBdr>
        <w:top w:val="none" w:sz="0" w:space="0" w:color="auto"/>
        <w:left w:val="none" w:sz="0" w:space="0" w:color="auto"/>
        <w:bottom w:val="none" w:sz="0" w:space="0" w:color="auto"/>
        <w:right w:val="none" w:sz="0" w:space="0" w:color="auto"/>
      </w:divBdr>
    </w:div>
    <w:div w:id="20617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B881-5FA5-4224-A5F1-BC0B793A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4</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174</cp:revision>
  <cp:lastPrinted>2024-03-28T08:27:00Z</cp:lastPrinted>
  <dcterms:created xsi:type="dcterms:W3CDTF">2023-05-23T12:57:00Z</dcterms:created>
  <dcterms:modified xsi:type="dcterms:W3CDTF">2024-04-26T12:55:00Z</dcterms:modified>
</cp:coreProperties>
</file>