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301A" w14:textId="1EFB89A3" w:rsidR="00295AB2" w:rsidRPr="008962CF" w:rsidRDefault="00295AB2" w:rsidP="00295AB2">
      <w:pPr>
        <w:jc w:val="right"/>
        <w:rPr>
          <w:lang w:val="uk-UA"/>
        </w:rPr>
      </w:pPr>
      <w:r w:rsidRPr="008962CF"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Pr="008962CF">
        <w:rPr>
          <w:b/>
          <w:lang w:val="uk-UA"/>
        </w:rPr>
        <w:t xml:space="preserve">Додаток 2 </w:t>
      </w:r>
    </w:p>
    <w:p w14:paraId="1B2C3761" w14:textId="77777777" w:rsidR="00295AB2" w:rsidRPr="008962CF" w:rsidRDefault="00295AB2" w:rsidP="00295AB2">
      <w:pPr>
        <w:jc w:val="right"/>
        <w:rPr>
          <w:lang w:val="uk-UA"/>
        </w:rPr>
      </w:pPr>
      <w:r w:rsidRPr="008962CF">
        <w:rPr>
          <w:b/>
          <w:lang w:val="uk-UA"/>
        </w:rPr>
        <w:t>тендерної документації</w:t>
      </w:r>
    </w:p>
    <w:p w14:paraId="7C445EC8" w14:textId="643E0C68" w:rsidR="00DB6E39" w:rsidRPr="008962CF" w:rsidRDefault="00DB6E39" w:rsidP="00042A89">
      <w:pPr>
        <w:jc w:val="center"/>
        <w:rPr>
          <w:rFonts w:ascii="Times New Roman" w:hAnsi="Times New Roman" w:cs="Times New Roman"/>
          <w:b/>
          <w:noProof/>
          <w:color w:val="000000"/>
          <w:lang w:val="uk-UA"/>
        </w:rPr>
      </w:pPr>
      <w:r w:rsidRPr="008962CF">
        <w:rPr>
          <w:rFonts w:ascii="Times New Roman" w:hAnsi="Times New Roman" w:cs="Times New Roman"/>
          <w:b/>
          <w:noProof/>
          <w:color w:val="000000"/>
          <w:lang w:val="uk-UA"/>
        </w:rPr>
        <w:t>Інформація про необхідні технічні, якісні та кількісні характеристики</w:t>
      </w:r>
    </w:p>
    <w:p w14:paraId="01033CF1" w14:textId="389BAEC0" w:rsidR="008A67AC" w:rsidRPr="008962CF" w:rsidRDefault="00DB6E39" w:rsidP="008962CF">
      <w:pPr>
        <w:pStyle w:val="1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962CF">
        <w:rPr>
          <w:noProof/>
          <w:sz w:val="24"/>
          <w:szCs w:val="24"/>
          <w:u w:val="single"/>
          <w:lang w:val="uk-UA"/>
        </w:rPr>
        <w:t>Предмет договору:</w:t>
      </w:r>
      <w:r w:rsidRPr="008962CF">
        <w:rPr>
          <w:noProof/>
          <w:sz w:val="24"/>
          <w:szCs w:val="24"/>
          <w:lang w:val="uk-UA"/>
        </w:rPr>
        <w:t xml:space="preserve"> </w:t>
      </w:r>
      <w:r w:rsidR="00042A89" w:rsidRPr="00042A89">
        <w:rPr>
          <w:i/>
          <w:sz w:val="24"/>
          <w:szCs w:val="24"/>
          <w:lang w:val="uk-UA"/>
        </w:rPr>
        <w:t>Послуги з проведення бактеріологічних</w:t>
      </w:r>
      <w:r w:rsidR="00E760BA">
        <w:rPr>
          <w:i/>
          <w:sz w:val="24"/>
          <w:szCs w:val="24"/>
          <w:lang w:val="uk-UA"/>
        </w:rPr>
        <w:t xml:space="preserve"> та скринінгових</w:t>
      </w:r>
      <w:bookmarkStart w:id="0" w:name="_GoBack"/>
      <w:bookmarkEnd w:id="0"/>
      <w:r w:rsidR="00042A89" w:rsidRPr="00042A89">
        <w:rPr>
          <w:i/>
          <w:sz w:val="24"/>
          <w:szCs w:val="24"/>
          <w:lang w:val="uk-UA"/>
        </w:rPr>
        <w:t xml:space="preserve"> досліджень</w:t>
      </w:r>
      <w:r w:rsidR="00042A89" w:rsidRPr="00042A89">
        <w:rPr>
          <w:rStyle w:val="ae"/>
          <w:b/>
          <w:i/>
          <w:color w:val="000000"/>
          <w:sz w:val="24"/>
          <w:szCs w:val="24"/>
          <w:lang w:val="uk-UA"/>
        </w:rPr>
        <w:t xml:space="preserve"> (ДК 021:2015 (</w:t>
      </w:r>
      <w:r w:rsidR="00042A89" w:rsidRPr="00042A89">
        <w:rPr>
          <w:rStyle w:val="ae"/>
          <w:b/>
          <w:i/>
          <w:color w:val="000000"/>
          <w:sz w:val="24"/>
          <w:szCs w:val="24"/>
        </w:rPr>
        <w:t>CPV</w:t>
      </w:r>
      <w:r w:rsidR="00042A89" w:rsidRPr="00042A89">
        <w:rPr>
          <w:rStyle w:val="ae"/>
          <w:b/>
          <w:i/>
          <w:color w:val="000000"/>
          <w:sz w:val="24"/>
          <w:szCs w:val="24"/>
          <w:lang w:val="uk-UA"/>
        </w:rPr>
        <w:t xml:space="preserve">) </w:t>
      </w:r>
      <w:r w:rsidR="00042A89" w:rsidRPr="00042A89">
        <w:rPr>
          <w:i/>
          <w:sz w:val="24"/>
          <w:szCs w:val="24"/>
          <w:lang w:val="uk-UA"/>
        </w:rPr>
        <w:t>85110000-3</w:t>
      </w:r>
      <w:r w:rsidR="00042A89" w:rsidRPr="00042A89">
        <w:rPr>
          <w:rStyle w:val="ae"/>
          <w:b/>
          <w:i/>
          <w:color w:val="000000"/>
          <w:sz w:val="24"/>
          <w:szCs w:val="24"/>
          <w:lang w:val="uk-UA"/>
        </w:rPr>
        <w:t xml:space="preserve">– </w:t>
      </w:r>
      <w:r w:rsidR="00042A89" w:rsidRPr="00042A89">
        <w:rPr>
          <w:i/>
          <w:sz w:val="24"/>
          <w:szCs w:val="24"/>
          <w:lang w:val="uk-UA"/>
        </w:rPr>
        <w:t>Послуги лікувальних закладів та супутні послуги</w:t>
      </w:r>
      <w:r w:rsidR="00042A89" w:rsidRPr="00042A89">
        <w:rPr>
          <w:rStyle w:val="ae"/>
          <w:b/>
          <w:i/>
          <w:color w:val="000000"/>
          <w:sz w:val="24"/>
          <w:szCs w:val="24"/>
          <w:lang w:val="uk-UA"/>
        </w:rPr>
        <w:t>)</w:t>
      </w:r>
    </w:p>
    <w:p w14:paraId="2FED6CF7" w14:textId="77777777" w:rsidR="008A67AC" w:rsidRPr="00A64D6D" w:rsidRDefault="008A67AC" w:rsidP="008962CF">
      <w:pPr>
        <w:ind w:firstLine="567"/>
        <w:rPr>
          <w:b/>
          <w:sz w:val="12"/>
          <w:szCs w:val="12"/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7574"/>
        <w:gridCol w:w="1134"/>
        <w:gridCol w:w="1134"/>
      </w:tblGrid>
      <w:tr w:rsidR="00042A89" w:rsidRPr="00E8383B" w14:paraId="2C922EF8" w14:textId="77777777" w:rsidTr="00042A89">
        <w:trPr>
          <w:trHeight w:val="256"/>
        </w:trPr>
        <w:tc>
          <w:tcPr>
            <w:tcW w:w="506" w:type="dxa"/>
            <w:shd w:val="clear" w:color="auto" w:fill="D8D8D8"/>
            <w:vAlign w:val="center"/>
          </w:tcPr>
          <w:p w14:paraId="40AD3B39" w14:textId="77777777" w:rsidR="00042A89" w:rsidRPr="00E8383B" w:rsidRDefault="00042A89" w:rsidP="005472EE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50C5D75E" w14:textId="797CBE82" w:rsidR="00042A89" w:rsidRPr="00E8383B" w:rsidRDefault="00E8383B" w:rsidP="00E8383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п</w:t>
            </w:r>
            <w:r w:rsidR="00042A89"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/</w:t>
            </w: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7574" w:type="dxa"/>
            <w:shd w:val="clear" w:color="auto" w:fill="D8D8D8"/>
            <w:vAlign w:val="center"/>
          </w:tcPr>
          <w:p w14:paraId="50E40CEF" w14:textId="77777777" w:rsidR="00042A89" w:rsidRPr="00E8383B" w:rsidRDefault="00042A89" w:rsidP="005472EE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shd w:val="clear" w:color="auto" w:fill="D8D8D8"/>
            <w:vAlign w:val="center"/>
          </w:tcPr>
          <w:p w14:paraId="57D11A38" w14:textId="77777777" w:rsidR="00042A89" w:rsidRPr="00E8383B" w:rsidRDefault="00042A89" w:rsidP="005472EE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вим</w:t>
            </w:r>
            <w:proofErr w:type="spellEnd"/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D8D8D8"/>
            <w:vAlign w:val="center"/>
          </w:tcPr>
          <w:p w14:paraId="0BE7B7AE" w14:textId="77777777" w:rsidR="00042A89" w:rsidRPr="00E8383B" w:rsidRDefault="00042A89" w:rsidP="005472EE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</w:tr>
      <w:tr w:rsidR="00E8383B" w:rsidRPr="00E8383B" w14:paraId="76E3723D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7F20B728" w14:textId="77777777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51F7C48" w14:textId="174E7CF4" w:rsidR="00E8383B" w:rsidRPr="00E8383B" w:rsidRDefault="00E8383B" w:rsidP="00A34A3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матеріалу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стрептокок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групи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FAEA6" w14:textId="66D3B93E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0BDDA3" w14:textId="513A74D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8383B" w:rsidRPr="00E8383B" w14:paraId="002F7264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EA273C4" w14:textId="77777777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93FE55F" w14:textId="0CF86F0F" w:rsidR="00E8383B" w:rsidRPr="00E8383B" w:rsidRDefault="00E8383B" w:rsidP="00A34A3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матеріалу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стрептокок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В +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4F25B5" w14:textId="1A761723" w:rsidR="00E8383B" w:rsidRPr="00E8383B" w:rsidRDefault="00E8383B" w:rsidP="00E8383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66736F" w14:textId="3D9EEFC7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8383B" w:rsidRPr="00E8383B" w14:paraId="3A820F1E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37441289" w14:textId="77777777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987F20E" w14:textId="11A9257B" w:rsidR="00E8383B" w:rsidRPr="00E8383B" w:rsidRDefault="00E8383B" w:rsidP="00A34A3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крові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стерильність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5DD49B" w14:textId="57A4D50A" w:rsidR="00E8383B" w:rsidRPr="00E8383B" w:rsidRDefault="00E8383B" w:rsidP="00E8383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B23020" w14:textId="00F1DAB2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E8383B" w:rsidRPr="00E8383B" w14:paraId="674B1304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2A8AD614" w14:textId="77777777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B43917D" w14:textId="6D0EE341" w:rsidR="00E8383B" w:rsidRPr="00E8383B" w:rsidRDefault="00E8383B" w:rsidP="00A34A3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сечі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(при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вагітності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1222E" w14:textId="44536B48" w:rsidR="00E8383B" w:rsidRPr="00E8383B" w:rsidRDefault="00E8383B" w:rsidP="00E8383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9F91A46" w14:textId="0817042E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8383B" w:rsidRPr="00E8383B" w14:paraId="6A7132CF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46256E4C" w14:textId="77777777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5053E64" w14:textId="4C205A8E" w:rsidR="00E8383B" w:rsidRPr="00E8383B" w:rsidRDefault="00E8383B" w:rsidP="00A34A3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сечі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мікрофлору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374191" w14:textId="2D8C01D4" w:rsidR="00E8383B" w:rsidRPr="00E8383B" w:rsidRDefault="00E8383B" w:rsidP="00E8383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3DB3D34" w14:textId="742B4426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8383B" w:rsidRPr="00E8383B" w14:paraId="6A817323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13B71508" w14:textId="473846FB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71AE819C" w14:textId="546D17D7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урогенітальних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виділень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EAF363B" w14:textId="174B50B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C05950" w14:textId="5ABF7AC1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8383B" w:rsidRPr="00E8383B" w14:paraId="4DB8059F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32AEC4C" w14:textId="5507ED57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0B7C646" w14:textId="275C55BA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випорожнень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кишкову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флору+антибіотикограма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3E3AC8" w14:textId="5201866C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61E2D8" w14:textId="40EFA72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sz w:val="22"/>
                <w:szCs w:val="22"/>
              </w:rPr>
              <w:t>20</w:t>
            </w:r>
          </w:p>
        </w:tc>
      </w:tr>
      <w:tr w:rsidR="00E8383B" w:rsidRPr="00E8383B" w14:paraId="4A64501D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27BC7144" w14:textId="2C28FA7F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35202A4" w14:textId="7E562593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слизу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зіву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C3C053F" w14:textId="1412E48B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5A24085" w14:textId="400C42B8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E8383B" w:rsidRPr="00E8383B" w14:paraId="6CCFF091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562582F" w14:textId="3B1EB673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8DDA8EA" w14:textId="11E6CC85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слизу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із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носу на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мікрофлору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AA5E86E" w14:textId="0AE7F3E4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9D2B27B" w14:textId="0C446B4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8383B" w:rsidRPr="00E8383B" w14:paraId="1FCC6458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04CCFE8" w14:textId="244A2B3A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1DD0BA0B" w14:textId="784D1D6B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  <w:lang w:val="uk-UA"/>
              </w:rPr>
              <w:t xml:space="preserve">Бактеріологічний посів спинномозкової рідини (ліквор) + </w:t>
            </w:r>
            <w:proofErr w:type="spellStart"/>
            <w:r w:rsidRPr="00E8383B">
              <w:rPr>
                <w:color w:val="000000"/>
                <w:sz w:val="22"/>
                <w:szCs w:val="22"/>
                <w:lang w:val="uk-UA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7E0BC4" w14:textId="3E197208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964946" w14:textId="1DAC1503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8383B" w:rsidRPr="00E8383B" w14:paraId="5C9953C1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7F324BBF" w14:textId="4C69148E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790DF0A" w14:textId="4987D8FE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іншого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біологічного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матеріалу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BC957D4" w14:textId="64C35C0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3B27A6" w14:textId="584DE1DF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E8383B" w:rsidRPr="00E8383B" w14:paraId="2D3713CD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12EF892" w14:textId="7646662C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202AA45" w14:textId="38D46B10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  <w:lang w:val="uk-UA"/>
              </w:rPr>
              <w:t xml:space="preserve">Профілактичне дослідження на </w:t>
            </w:r>
            <w:proofErr w:type="spellStart"/>
            <w:r w:rsidRPr="00E8383B">
              <w:rPr>
                <w:color w:val="000000"/>
                <w:sz w:val="22"/>
                <w:szCs w:val="22"/>
                <w:lang w:val="uk-UA"/>
              </w:rPr>
              <w:t>носійство</w:t>
            </w:r>
            <w:proofErr w:type="spellEnd"/>
            <w:r w:rsidRPr="00E8383B">
              <w:rPr>
                <w:color w:val="000000"/>
                <w:sz w:val="22"/>
                <w:szCs w:val="22"/>
                <w:lang w:val="uk-UA"/>
              </w:rPr>
              <w:t xml:space="preserve"> збудників кишкових інфекцій (співробітники та пацієнти пільгових категорій)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D982" w14:textId="107E6A0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87174B" w14:textId="4CF47FE2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sz w:val="22"/>
                <w:szCs w:val="22"/>
              </w:rPr>
              <w:t>270</w:t>
            </w:r>
          </w:p>
        </w:tc>
      </w:tr>
      <w:tr w:rsidR="00E8383B" w:rsidRPr="00E8383B" w14:paraId="36D220FB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34FF793D" w14:textId="05CA96FB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7DAE3DD" w14:textId="77FF134A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слизу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із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зіву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збудник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дифтерії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36472CC" w14:textId="17257736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94C9F6" w14:textId="277587D7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E8383B" w:rsidRPr="00E8383B" w14:paraId="3004C072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364803EB" w14:textId="480ECB5D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3CB13D5" w14:textId="38068C17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пунктату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із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закритих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порожнин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C49478" w14:textId="1FA73406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0807B03" w14:textId="108BAD4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E8383B" w:rsidRPr="00E8383B" w14:paraId="1A824DBE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4157AB82" w14:textId="7A9C80C1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5B5B68C0" w14:textId="1FF90CA9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матеріалу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з рани +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E7560" w14:textId="73254B4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79C5BA" w14:textId="4EB56BBA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E8383B" w:rsidRPr="00E8383B" w14:paraId="5D21E959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13ED407A" w14:textId="61046160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FCF429E" w14:textId="0AEC83CE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333333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посів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випорожнень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дисбактеріоз</w:t>
            </w:r>
            <w:proofErr w:type="spellEnd"/>
            <w:r w:rsidRPr="00E8383B">
              <w:rPr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8383B">
              <w:rPr>
                <w:color w:val="333333"/>
                <w:sz w:val="22"/>
                <w:szCs w:val="22"/>
              </w:rPr>
              <w:t>антибіотикограма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D3B6704" w14:textId="17437502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EBC01A" w14:textId="3947F803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8383B" w:rsidRPr="00E8383B" w14:paraId="25B6627E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7901ED38" w14:textId="0018840F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59F68124" w14:textId="60C31F8F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Профілактичне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носійство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патогенного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стафілококу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співробітників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0C52F66" w14:textId="0A2C240D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B8366C" w14:textId="0E54E507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8383B" w:rsidRPr="00E8383B" w14:paraId="15FFA92A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60ED553C" w14:textId="478EE14E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BEBDA5B" w14:textId="369269CC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Бактеріологічний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контроль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стерильності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виробів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медичного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інструментарію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2249CB0" w14:textId="40F1EDC0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19BFEA8" w14:textId="11D9E0C6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8383B" w:rsidRPr="00E8383B" w14:paraId="06AA0236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0C096217" w14:textId="4F664D78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5F04B7D0" w14:textId="2F5EB979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Бактеріологічне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змивів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показову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мікрофлору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навколишнього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середовища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0C8DE3" w14:textId="44B7EBAC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AC29D0" w14:textId="4834C8E4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E8383B" w:rsidRPr="00E8383B" w14:paraId="317C0E1C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43238385" w14:textId="22B6DDCC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4795E1B" w14:textId="347DA0F9" w:rsidR="00E8383B" w:rsidRPr="00E8383B" w:rsidRDefault="00E8383B" w:rsidP="00A34A3A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Бактеріологічне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забруднення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повітря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закритих</w:t>
            </w:r>
            <w:proofErr w:type="spellEnd"/>
            <w:r w:rsidRPr="00E838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color w:val="000000"/>
                <w:sz w:val="22"/>
                <w:szCs w:val="22"/>
              </w:rPr>
              <w:t>приміщень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1C1503" w14:textId="55AFBC0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5F00CF" w14:textId="3B73BCA3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4</w:t>
            </w:r>
          </w:p>
        </w:tc>
      </w:tr>
      <w:tr w:rsidR="00E8383B" w:rsidRPr="00E8383B" w14:paraId="03CA362D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5D807F5C" w14:textId="5C678F7C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21.</w:t>
            </w:r>
          </w:p>
        </w:tc>
        <w:tc>
          <w:tcPr>
            <w:tcW w:w="7574" w:type="dxa"/>
            <w:shd w:val="clear" w:color="auto" w:fill="auto"/>
            <w:vAlign w:val="bottom"/>
          </w:tcPr>
          <w:p w14:paraId="25A2CD62" w14:textId="52954832" w:rsidR="00E8383B" w:rsidRPr="00E8383B" w:rsidRDefault="00E8383B" w:rsidP="00A34A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8383B">
              <w:rPr>
                <w:sz w:val="22"/>
                <w:szCs w:val="22"/>
              </w:rPr>
              <w:t> </w:t>
            </w:r>
            <w:proofErr w:type="spellStart"/>
            <w:r w:rsidRPr="00E8383B">
              <w:rPr>
                <w:sz w:val="22"/>
                <w:szCs w:val="22"/>
              </w:rPr>
              <w:t>Дослідження</w:t>
            </w:r>
            <w:proofErr w:type="spellEnd"/>
            <w:r w:rsidRPr="00E8383B">
              <w:rPr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sz w:val="22"/>
                <w:szCs w:val="22"/>
              </w:rPr>
              <w:t>крові</w:t>
            </w:r>
            <w:proofErr w:type="spellEnd"/>
            <w:r w:rsidRPr="00E8383B">
              <w:rPr>
                <w:sz w:val="22"/>
                <w:szCs w:val="22"/>
              </w:rPr>
              <w:t xml:space="preserve"> на альфа-</w:t>
            </w:r>
            <w:proofErr w:type="spellStart"/>
            <w:r w:rsidRPr="00E8383B">
              <w:rPr>
                <w:sz w:val="22"/>
                <w:szCs w:val="22"/>
              </w:rPr>
              <w:t>фетопротеїн</w:t>
            </w:r>
            <w:proofErr w:type="spellEnd"/>
            <w:r w:rsidRPr="00E8383B">
              <w:rPr>
                <w:sz w:val="22"/>
                <w:szCs w:val="22"/>
              </w:rPr>
              <w:t xml:space="preserve"> (АФП, 14-19 </w:t>
            </w:r>
            <w:proofErr w:type="spellStart"/>
            <w:r w:rsidRPr="00E8383B">
              <w:rPr>
                <w:sz w:val="22"/>
                <w:szCs w:val="22"/>
              </w:rPr>
              <w:t>тижнів</w:t>
            </w:r>
            <w:proofErr w:type="spellEnd"/>
            <w:r w:rsidRPr="00E8383B">
              <w:rPr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sz w:val="22"/>
                <w:szCs w:val="22"/>
              </w:rPr>
              <w:t>вагітності</w:t>
            </w:r>
            <w:proofErr w:type="spellEnd"/>
            <w:r w:rsidRPr="00E8383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DDDB9" w14:textId="621888B6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1FFA18" w14:textId="6241A39A" w:rsidR="00E8383B" w:rsidRPr="00E8383B" w:rsidRDefault="00E8383B" w:rsidP="00E8383B">
            <w:pPr>
              <w:jc w:val="center"/>
              <w:rPr>
                <w:color w:val="000000"/>
                <w:sz w:val="22"/>
                <w:szCs w:val="22"/>
              </w:rPr>
            </w:pPr>
            <w:r w:rsidRPr="00E8383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8383B" w:rsidRPr="00E8383B" w14:paraId="47C3EF4F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73BCAD3E" w14:textId="0BF8609E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22.</w:t>
            </w:r>
          </w:p>
        </w:tc>
        <w:tc>
          <w:tcPr>
            <w:tcW w:w="7574" w:type="dxa"/>
            <w:shd w:val="clear" w:color="auto" w:fill="auto"/>
            <w:vAlign w:val="bottom"/>
          </w:tcPr>
          <w:p w14:paraId="284F1CC2" w14:textId="43FF9AE7" w:rsidR="00E8383B" w:rsidRPr="00E8383B" w:rsidRDefault="00E8383B" w:rsidP="00A34A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8383B">
              <w:rPr>
                <w:sz w:val="22"/>
                <w:szCs w:val="22"/>
              </w:rPr>
              <w:t>Комбінований</w:t>
            </w:r>
            <w:proofErr w:type="spellEnd"/>
            <w:r w:rsidRPr="00E8383B">
              <w:rPr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sz w:val="22"/>
                <w:szCs w:val="22"/>
              </w:rPr>
              <w:t>пренатальний</w:t>
            </w:r>
            <w:proofErr w:type="spellEnd"/>
            <w:r w:rsidRPr="00E8383B">
              <w:rPr>
                <w:sz w:val="22"/>
                <w:szCs w:val="22"/>
              </w:rPr>
              <w:t xml:space="preserve"> </w:t>
            </w:r>
            <w:proofErr w:type="spellStart"/>
            <w:r w:rsidRPr="00E8383B">
              <w:rPr>
                <w:sz w:val="22"/>
                <w:szCs w:val="22"/>
              </w:rPr>
              <w:t>скринінг</w:t>
            </w:r>
            <w:proofErr w:type="spellEnd"/>
            <w:r w:rsidRPr="00E8383B">
              <w:rPr>
                <w:sz w:val="22"/>
                <w:szCs w:val="22"/>
              </w:rPr>
              <w:t xml:space="preserve"> І триместру </w:t>
            </w:r>
            <w:proofErr w:type="spellStart"/>
            <w:r w:rsidRPr="00E8383B">
              <w:rPr>
                <w:sz w:val="22"/>
                <w:szCs w:val="22"/>
              </w:rPr>
              <w:t>вагітності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E0F146A" w14:textId="0B2E43F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8F33D3" w14:textId="08F1CEE5" w:rsidR="00E8383B" w:rsidRPr="00E8383B" w:rsidRDefault="00E8383B" w:rsidP="00E8383B">
            <w:pPr>
              <w:jc w:val="center"/>
              <w:rPr>
                <w:color w:val="000000"/>
                <w:sz w:val="22"/>
                <w:szCs w:val="22"/>
              </w:rPr>
            </w:pPr>
            <w:r w:rsidRPr="00E8383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8383B" w:rsidRPr="00E8383B" w14:paraId="0492FEEC" w14:textId="77777777" w:rsidTr="00E8383B">
        <w:trPr>
          <w:trHeight w:val="227"/>
        </w:trPr>
        <w:tc>
          <w:tcPr>
            <w:tcW w:w="506" w:type="dxa"/>
            <w:shd w:val="clear" w:color="auto" w:fill="auto"/>
            <w:vAlign w:val="center"/>
          </w:tcPr>
          <w:p w14:paraId="4CCB90DD" w14:textId="529F3556" w:rsidR="00E8383B" w:rsidRPr="00E8383B" w:rsidRDefault="00E8383B" w:rsidP="00E8383B">
            <w:pPr>
              <w:jc w:val="center"/>
              <w:rPr>
                <w:rStyle w:val="Hyperlink2"/>
                <w:bCs/>
                <w:sz w:val="22"/>
                <w:szCs w:val="22"/>
                <w:lang w:val="uk-UA"/>
              </w:rPr>
            </w:pPr>
            <w:r w:rsidRPr="00E8383B">
              <w:rPr>
                <w:rStyle w:val="Hyperlink2"/>
                <w:bCs/>
                <w:sz w:val="22"/>
                <w:szCs w:val="22"/>
                <w:lang w:val="uk-UA"/>
              </w:rPr>
              <w:t>23.</w:t>
            </w:r>
          </w:p>
        </w:tc>
        <w:tc>
          <w:tcPr>
            <w:tcW w:w="7574" w:type="dxa"/>
            <w:shd w:val="clear" w:color="auto" w:fill="auto"/>
            <w:vAlign w:val="bottom"/>
          </w:tcPr>
          <w:p w14:paraId="38813A57" w14:textId="3FE6699C" w:rsidR="00E8383B" w:rsidRPr="00E8383B" w:rsidRDefault="00E8383B" w:rsidP="00A34A3A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8383B">
              <w:rPr>
                <w:sz w:val="22"/>
                <w:szCs w:val="22"/>
                <w:lang w:val="uk-UA"/>
              </w:rPr>
              <w:t xml:space="preserve">Імунологічний аналіз крові на </w:t>
            </w:r>
            <w:r w:rsidRPr="00E8383B">
              <w:rPr>
                <w:sz w:val="22"/>
                <w:szCs w:val="22"/>
              </w:rPr>
              <w:t>TORCH</w:t>
            </w:r>
            <w:r w:rsidRPr="00E8383B">
              <w:rPr>
                <w:sz w:val="22"/>
                <w:szCs w:val="22"/>
                <w:lang w:val="uk-UA"/>
              </w:rPr>
              <w:t xml:space="preserve">-комплекс (краснухи, </w:t>
            </w:r>
            <w:proofErr w:type="spellStart"/>
            <w:r w:rsidRPr="00E8383B">
              <w:rPr>
                <w:sz w:val="22"/>
                <w:szCs w:val="22"/>
                <w:lang w:val="uk-UA"/>
              </w:rPr>
              <w:t>герпесу</w:t>
            </w:r>
            <w:proofErr w:type="spellEnd"/>
            <w:r w:rsidRPr="00E8383B">
              <w:rPr>
                <w:sz w:val="22"/>
                <w:szCs w:val="22"/>
                <w:lang w:val="uk-UA"/>
              </w:rPr>
              <w:t xml:space="preserve"> (І та ІІ типу), токсоплазми, </w:t>
            </w:r>
            <w:proofErr w:type="spellStart"/>
            <w:r w:rsidRPr="00E8383B">
              <w:rPr>
                <w:sz w:val="22"/>
                <w:szCs w:val="22"/>
                <w:lang w:val="uk-UA"/>
              </w:rPr>
              <w:t>цитомегаловірусу</w:t>
            </w:r>
            <w:proofErr w:type="spellEnd"/>
            <w:r w:rsidRPr="00E8383B">
              <w:rPr>
                <w:sz w:val="22"/>
                <w:szCs w:val="22"/>
                <w:lang w:val="uk-UA"/>
              </w:rPr>
              <w:t xml:space="preserve"> - антитіл до </w:t>
            </w:r>
            <w:proofErr w:type="spellStart"/>
            <w:r w:rsidRPr="00E8383B">
              <w:rPr>
                <w:sz w:val="22"/>
                <w:szCs w:val="22"/>
              </w:rPr>
              <w:t>IgG</w:t>
            </w:r>
            <w:proofErr w:type="spellEnd"/>
            <w:r w:rsidRPr="00E8383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7DD18" w14:textId="3F9AE635" w:rsidR="00E8383B" w:rsidRPr="00E8383B" w:rsidRDefault="00E8383B" w:rsidP="00E8383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383B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D9B21E" w14:textId="347E4FE1" w:rsidR="00E8383B" w:rsidRPr="00E8383B" w:rsidRDefault="00E8383B" w:rsidP="00E8383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8383B">
              <w:rPr>
                <w:color w:val="000000"/>
                <w:sz w:val="22"/>
                <w:szCs w:val="22"/>
              </w:rPr>
              <w:t>1500</w:t>
            </w:r>
          </w:p>
        </w:tc>
      </w:tr>
    </w:tbl>
    <w:p w14:paraId="448F3436" w14:textId="44D2E677" w:rsidR="00042A89" w:rsidRPr="00A64D6D" w:rsidRDefault="00042A89" w:rsidP="008962CF">
      <w:pPr>
        <w:ind w:firstLine="567"/>
        <w:rPr>
          <w:b/>
          <w:sz w:val="12"/>
          <w:szCs w:val="12"/>
          <w:lang w:val="uk-UA"/>
        </w:rPr>
      </w:pPr>
    </w:p>
    <w:p w14:paraId="575246DE" w14:textId="77777777" w:rsidR="00A64D6D" w:rsidRPr="003A5D07" w:rsidRDefault="00A64D6D" w:rsidP="00A64D6D">
      <w:pPr>
        <w:jc w:val="both"/>
        <w:rPr>
          <w:lang w:val="uk-UA"/>
        </w:rPr>
      </w:pPr>
      <w:r w:rsidRPr="003A5D07">
        <w:rPr>
          <w:b/>
          <w:bCs/>
          <w:lang w:val="uk-UA"/>
        </w:rPr>
        <w:t>Обсяг послуг визначається відповідно до потреб Замовника.</w:t>
      </w:r>
    </w:p>
    <w:p w14:paraId="0A759A81" w14:textId="0E4C573B" w:rsidR="00A64D6D" w:rsidRPr="003A5D07" w:rsidRDefault="00A64D6D" w:rsidP="00A64D6D">
      <w:pPr>
        <w:jc w:val="both"/>
        <w:rPr>
          <w:lang w:val="uk-UA"/>
        </w:rPr>
      </w:pPr>
      <w:r w:rsidRPr="003A5D07">
        <w:rPr>
          <w:lang w:val="uk-UA"/>
        </w:rPr>
        <w:t>Строк надання послуг – протягом 202</w:t>
      </w:r>
      <w:r w:rsidR="00E8383B">
        <w:rPr>
          <w:lang w:val="uk-UA"/>
        </w:rPr>
        <w:t>4</w:t>
      </w:r>
      <w:r w:rsidRPr="003A5D07">
        <w:rPr>
          <w:lang w:val="uk-UA"/>
        </w:rPr>
        <w:t xml:space="preserve"> року</w:t>
      </w:r>
    </w:p>
    <w:p w14:paraId="5CB4F0E6" w14:textId="77777777" w:rsidR="00A64D6D" w:rsidRPr="00A64D6D" w:rsidRDefault="00A64D6D" w:rsidP="00A64D6D">
      <w:pPr>
        <w:jc w:val="both"/>
        <w:rPr>
          <w:b/>
          <w:bCs/>
          <w:sz w:val="12"/>
          <w:szCs w:val="12"/>
          <w:lang w:val="uk-UA"/>
        </w:rPr>
      </w:pPr>
    </w:p>
    <w:p w14:paraId="248A7D93" w14:textId="77777777" w:rsidR="00A64D6D" w:rsidRPr="003A5D07" w:rsidRDefault="00A64D6D" w:rsidP="00A64D6D">
      <w:pPr>
        <w:jc w:val="both"/>
        <w:rPr>
          <w:b/>
          <w:bCs/>
          <w:lang w:val="uk-UA"/>
        </w:rPr>
      </w:pPr>
      <w:r w:rsidRPr="003A5D07">
        <w:rPr>
          <w:b/>
          <w:bCs/>
          <w:lang w:val="uk-UA"/>
        </w:rPr>
        <w:t>Умови надання послуг Замовнику:</w:t>
      </w:r>
    </w:p>
    <w:p w14:paraId="700037F5" w14:textId="21BB33C6" w:rsidR="00A64D6D" w:rsidRPr="003A5D07" w:rsidRDefault="00A64D6D" w:rsidP="00A64D6D">
      <w:pPr>
        <w:jc w:val="both"/>
        <w:rPr>
          <w:lang w:val="uk-UA"/>
        </w:rPr>
      </w:pPr>
      <w:r w:rsidRPr="003A5D07">
        <w:rPr>
          <w:lang w:val="uk-UA"/>
        </w:rPr>
        <w:t>1) Лабораторія Учасника повинна мати діючу ліцензію на здійснення господарської діяльності з медичної практики (на проведення вище зазначених послуг) (</w:t>
      </w:r>
      <w:r w:rsidRPr="003A5D07">
        <w:rPr>
          <w:i/>
          <w:iCs/>
          <w:lang w:val="uk-UA"/>
        </w:rPr>
        <w:t xml:space="preserve">на підтвердження надати у складі </w:t>
      </w:r>
      <w:r w:rsidRPr="003A5D07">
        <w:rPr>
          <w:i/>
          <w:iCs/>
          <w:lang w:val="uk-UA" w:eastAsia="uk-UA"/>
        </w:rPr>
        <w:t>Тендерної документації</w:t>
      </w:r>
      <w:r w:rsidRPr="003A5D07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копію</w:t>
      </w:r>
      <w:r w:rsidRPr="003A5D07">
        <w:rPr>
          <w:i/>
          <w:iCs/>
          <w:lang w:val="uk-UA"/>
        </w:rPr>
        <w:t xml:space="preserve"> діючої ліцензії з медичної практики</w:t>
      </w:r>
      <w:r w:rsidRPr="003A5D07">
        <w:rPr>
          <w:lang w:val="uk-UA" w:eastAsia="uk-UA"/>
        </w:rPr>
        <w:t>)</w:t>
      </w:r>
      <w:r w:rsidRPr="003A5D07">
        <w:rPr>
          <w:lang w:val="uk-UA"/>
        </w:rPr>
        <w:t>.</w:t>
      </w:r>
    </w:p>
    <w:p w14:paraId="536F9DC0" w14:textId="77777777" w:rsidR="00A64D6D" w:rsidRPr="003A5D07" w:rsidRDefault="00A64D6D" w:rsidP="00A64D6D">
      <w:pPr>
        <w:jc w:val="both"/>
        <w:rPr>
          <w:lang w:val="uk-UA" w:eastAsia="uk-UA"/>
        </w:rPr>
      </w:pPr>
      <w:r w:rsidRPr="003A5D07">
        <w:rPr>
          <w:lang w:val="uk-UA" w:eastAsia="uk-UA"/>
        </w:rPr>
        <w:t>2) Послуги з лабораторних досліджень надаються медичними працівниками Учасника, які мають відповідну спеціальну освіту і відповідають єдиним кваліфікаційним вимогам відповідно до законодавства України</w:t>
      </w:r>
      <w:r>
        <w:rPr>
          <w:lang w:val="uk-UA" w:eastAsia="uk-UA"/>
        </w:rPr>
        <w:t xml:space="preserve">. </w:t>
      </w:r>
      <w:r w:rsidRPr="003A5D07">
        <w:rPr>
          <w:lang w:val="uk-UA" w:eastAsia="uk-UA"/>
        </w:rPr>
        <w:t>(</w:t>
      </w:r>
      <w:r w:rsidRPr="003A5D07">
        <w:rPr>
          <w:i/>
          <w:iCs/>
          <w:lang w:val="uk-UA" w:eastAsia="uk-UA"/>
        </w:rPr>
        <w:t>надати гарантійний лист у складі Тендерної документації</w:t>
      </w:r>
      <w:r w:rsidRPr="003A5D07">
        <w:rPr>
          <w:lang w:val="uk-UA" w:eastAsia="uk-UA"/>
        </w:rPr>
        <w:t>).</w:t>
      </w:r>
    </w:p>
    <w:p w14:paraId="7C03B061" w14:textId="77777777" w:rsidR="00A64D6D" w:rsidRPr="003A5D07" w:rsidRDefault="00A64D6D" w:rsidP="00A64D6D">
      <w:pPr>
        <w:jc w:val="both"/>
        <w:rPr>
          <w:lang w:val="uk-UA" w:eastAsia="uk-UA"/>
        </w:rPr>
      </w:pPr>
      <w:r w:rsidRPr="003A5D07">
        <w:rPr>
          <w:lang w:val="uk-UA" w:eastAsia="uk-UA"/>
        </w:rPr>
        <w:t>3) 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 даного виду</w:t>
      </w:r>
      <w:r>
        <w:rPr>
          <w:lang w:val="uk-UA" w:eastAsia="uk-UA"/>
        </w:rPr>
        <w:t xml:space="preserve">. </w:t>
      </w:r>
      <w:r w:rsidRPr="003A5D07">
        <w:rPr>
          <w:lang w:val="uk-UA" w:eastAsia="uk-UA"/>
        </w:rPr>
        <w:t>(</w:t>
      </w:r>
      <w:r w:rsidRPr="003A5D07">
        <w:rPr>
          <w:i/>
          <w:iCs/>
          <w:lang w:val="uk-UA" w:eastAsia="uk-UA"/>
        </w:rPr>
        <w:t>надати гарантійний лист у складі Тендерної документації</w:t>
      </w:r>
      <w:r w:rsidRPr="003A5D07">
        <w:rPr>
          <w:lang w:val="uk-UA" w:eastAsia="uk-UA"/>
        </w:rPr>
        <w:t xml:space="preserve">). </w:t>
      </w:r>
    </w:p>
    <w:p w14:paraId="34926D14" w14:textId="77777777" w:rsidR="00A64D6D" w:rsidRDefault="00A64D6D" w:rsidP="00A64D6D">
      <w:pPr>
        <w:pStyle w:val="docdata"/>
        <w:spacing w:before="0" w:beforeAutospacing="0" w:after="0" w:afterAutospacing="0"/>
        <w:jc w:val="both"/>
      </w:pPr>
      <w:r w:rsidRPr="003A5D07">
        <w:t>4) Виконавець надає Замовнику результати лабораторних досліджень в паперовому вигляді на бланках відповідної форми, які затверджені чинним законодавством України.</w:t>
      </w:r>
    </w:p>
    <w:p w14:paraId="706F6B35" w14:textId="77777777" w:rsidR="00A64D6D" w:rsidRDefault="00A64D6D" w:rsidP="00A64D6D">
      <w:pPr>
        <w:tabs>
          <w:tab w:val="left" w:pos="210"/>
        </w:tabs>
        <w:jc w:val="both"/>
        <w:rPr>
          <w:rFonts w:ascii="Times New Roman" w:hAnsi="Times New Roman" w:cs="Times New Roman"/>
        </w:rPr>
      </w:pPr>
      <w:r>
        <w:rPr>
          <w:bCs/>
          <w:iCs/>
          <w:lang w:eastAsia="ru-RU"/>
        </w:rPr>
        <w:t xml:space="preserve">5) </w:t>
      </w:r>
      <w:proofErr w:type="spellStart"/>
      <w:r w:rsidRPr="00FC09D8">
        <w:rPr>
          <w:rFonts w:ascii="Times New Roman" w:hAnsi="Times New Roman" w:cs="Times New Roman"/>
        </w:rPr>
        <w:t>Учасник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розраховує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вартість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послуг</w:t>
      </w:r>
      <w:proofErr w:type="spellEnd"/>
      <w:r w:rsidRPr="00FC09D8">
        <w:rPr>
          <w:rFonts w:ascii="Times New Roman" w:hAnsi="Times New Roman" w:cs="Times New Roman"/>
        </w:rPr>
        <w:t xml:space="preserve"> по кожному виду </w:t>
      </w:r>
      <w:proofErr w:type="spellStart"/>
      <w:r w:rsidRPr="00FC09D8">
        <w:rPr>
          <w:rFonts w:ascii="Times New Roman" w:hAnsi="Times New Roman" w:cs="Times New Roman"/>
        </w:rPr>
        <w:t>дослідження</w:t>
      </w:r>
      <w:proofErr w:type="spellEnd"/>
      <w:r w:rsidRPr="00FC09D8">
        <w:rPr>
          <w:rFonts w:ascii="Times New Roman" w:hAnsi="Times New Roman" w:cs="Times New Roman"/>
        </w:rPr>
        <w:t xml:space="preserve"> з </w:t>
      </w:r>
      <w:proofErr w:type="spellStart"/>
      <w:r w:rsidRPr="00FC09D8">
        <w:rPr>
          <w:rFonts w:ascii="Times New Roman" w:hAnsi="Times New Roman" w:cs="Times New Roman"/>
        </w:rPr>
        <w:t>урахуванням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вартості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матеріалів</w:t>
      </w:r>
      <w:proofErr w:type="spellEnd"/>
      <w:r w:rsidRPr="00FC09D8">
        <w:rPr>
          <w:rFonts w:ascii="Times New Roman" w:hAnsi="Times New Roman" w:cs="Times New Roman"/>
        </w:rPr>
        <w:t xml:space="preserve">, </w:t>
      </w:r>
      <w:proofErr w:type="spellStart"/>
      <w:r w:rsidRPr="00FC09D8">
        <w:rPr>
          <w:rFonts w:ascii="Times New Roman" w:hAnsi="Times New Roman" w:cs="Times New Roman"/>
        </w:rPr>
        <w:t>необхідних</w:t>
      </w:r>
      <w:proofErr w:type="spellEnd"/>
      <w:r w:rsidRPr="00FC09D8">
        <w:rPr>
          <w:rFonts w:ascii="Times New Roman" w:hAnsi="Times New Roman" w:cs="Times New Roman"/>
        </w:rPr>
        <w:t xml:space="preserve"> для </w:t>
      </w:r>
      <w:proofErr w:type="spellStart"/>
      <w:r w:rsidRPr="00FC09D8">
        <w:rPr>
          <w:rFonts w:ascii="Times New Roman" w:hAnsi="Times New Roman" w:cs="Times New Roman"/>
        </w:rPr>
        <w:t>проведення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дослідження</w:t>
      </w:r>
      <w:proofErr w:type="spellEnd"/>
      <w:r w:rsidRPr="00FC09D8">
        <w:rPr>
          <w:rFonts w:ascii="Times New Roman" w:hAnsi="Times New Roman" w:cs="Times New Roman"/>
        </w:rPr>
        <w:t xml:space="preserve">. </w:t>
      </w:r>
      <w:proofErr w:type="spellStart"/>
      <w:r w:rsidRPr="00FC09D8">
        <w:rPr>
          <w:rFonts w:ascii="Times New Roman" w:hAnsi="Times New Roman" w:cs="Times New Roman"/>
          <w:lang w:eastAsia="uk-UA"/>
        </w:rPr>
        <w:t>Прийом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FC09D8">
        <w:rPr>
          <w:rFonts w:ascii="Times New Roman" w:hAnsi="Times New Roman" w:cs="Times New Roman"/>
          <w:lang w:eastAsia="uk-UA"/>
        </w:rPr>
        <w:t>кодування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FC09D8">
        <w:rPr>
          <w:rFonts w:ascii="Times New Roman" w:hAnsi="Times New Roman" w:cs="Times New Roman"/>
          <w:lang w:eastAsia="uk-UA"/>
        </w:rPr>
        <w:t>реєстрація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FC09D8">
        <w:rPr>
          <w:rFonts w:ascii="Times New Roman" w:hAnsi="Times New Roman" w:cs="Times New Roman"/>
          <w:lang w:eastAsia="uk-UA"/>
        </w:rPr>
        <w:t>видача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FC09D8">
        <w:rPr>
          <w:rFonts w:ascii="Times New Roman" w:hAnsi="Times New Roman" w:cs="Times New Roman"/>
          <w:lang w:eastAsia="uk-UA"/>
        </w:rPr>
        <w:t>результатів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FC09D8">
        <w:rPr>
          <w:rFonts w:ascii="Times New Roman" w:hAnsi="Times New Roman" w:cs="Times New Roman"/>
          <w:lang w:eastAsia="uk-UA"/>
        </w:rPr>
        <w:t>аналізів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FC09D8">
        <w:rPr>
          <w:rFonts w:ascii="Times New Roman" w:hAnsi="Times New Roman" w:cs="Times New Roman"/>
          <w:lang w:eastAsia="uk-UA"/>
        </w:rPr>
        <w:t>входять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FC09D8">
        <w:rPr>
          <w:rFonts w:ascii="Times New Roman" w:hAnsi="Times New Roman" w:cs="Times New Roman"/>
          <w:lang w:eastAsia="uk-UA"/>
        </w:rPr>
        <w:t>вартості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FC09D8">
        <w:rPr>
          <w:rFonts w:ascii="Times New Roman" w:hAnsi="Times New Roman" w:cs="Times New Roman"/>
          <w:lang w:eastAsia="uk-UA"/>
        </w:rPr>
        <w:t>послуг</w:t>
      </w:r>
      <w:proofErr w:type="spellEnd"/>
      <w:r w:rsidRPr="00FC09D8">
        <w:rPr>
          <w:rFonts w:ascii="Times New Roman" w:hAnsi="Times New Roman" w:cs="Times New Roman"/>
          <w:lang w:eastAsia="uk-UA"/>
        </w:rPr>
        <w:t xml:space="preserve">. </w:t>
      </w:r>
      <w:proofErr w:type="spellStart"/>
      <w:r w:rsidRPr="00FC09D8">
        <w:rPr>
          <w:rFonts w:ascii="Times New Roman" w:hAnsi="Times New Roman" w:cs="Times New Roman"/>
        </w:rPr>
        <w:t>Учасником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надається</w:t>
      </w:r>
      <w:proofErr w:type="spellEnd"/>
      <w:r w:rsidRPr="00FC09D8">
        <w:rPr>
          <w:rFonts w:ascii="Times New Roman" w:hAnsi="Times New Roman" w:cs="Times New Roman"/>
        </w:rPr>
        <w:t xml:space="preserve"> </w:t>
      </w:r>
      <w:proofErr w:type="spellStart"/>
      <w:r w:rsidRPr="00FC09D8">
        <w:rPr>
          <w:rFonts w:ascii="Times New Roman" w:hAnsi="Times New Roman" w:cs="Times New Roman"/>
        </w:rPr>
        <w:t>гарантійний</w:t>
      </w:r>
      <w:proofErr w:type="spellEnd"/>
      <w:r w:rsidRPr="00FC09D8">
        <w:rPr>
          <w:rFonts w:ascii="Times New Roman" w:hAnsi="Times New Roman" w:cs="Times New Roman"/>
        </w:rPr>
        <w:t xml:space="preserve"> лист.</w:t>
      </w:r>
    </w:p>
    <w:p w14:paraId="7D70D360" w14:textId="77777777" w:rsidR="00A64D6D" w:rsidRPr="00547EC2" w:rsidRDefault="00A64D6D" w:rsidP="00A64D6D">
      <w:pPr>
        <w:tabs>
          <w:tab w:val="left" w:pos="2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6) Результати дослідження Учасник повинен вносити в МІС «Доктор </w:t>
      </w:r>
      <w:proofErr w:type="spellStart"/>
      <w:r>
        <w:rPr>
          <w:rFonts w:ascii="Times New Roman" w:hAnsi="Times New Roman" w:cs="Times New Roman"/>
          <w:lang w:val="uk-UA"/>
        </w:rPr>
        <w:t>Елекс</w:t>
      </w:r>
      <w:proofErr w:type="spellEnd"/>
      <w:r>
        <w:rPr>
          <w:rFonts w:ascii="Times New Roman" w:hAnsi="Times New Roman" w:cs="Times New Roman"/>
          <w:lang w:val="uk-UA"/>
        </w:rPr>
        <w:t>» та «</w:t>
      </w:r>
      <w:r>
        <w:rPr>
          <w:rFonts w:ascii="Times New Roman" w:hAnsi="Times New Roman" w:cs="Times New Roman"/>
          <w:lang w:val="en-US"/>
        </w:rPr>
        <w:t>E</w:t>
      </w:r>
      <w:r w:rsidRPr="00643B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health</w:t>
      </w:r>
      <w:r>
        <w:rPr>
          <w:rFonts w:ascii="Times New Roman" w:hAnsi="Times New Roman" w:cs="Times New Roman"/>
          <w:lang w:val="uk-UA"/>
        </w:rPr>
        <w:t>» у разі якщо дослідження стосується конкретного пацієнта (</w:t>
      </w:r>
      <w:proofErr w:type="spellStart"/>
      <w:r>
        <w:rPr>
          <w:i/>
        </w:rPr>
        <w:t>н</w:t>
      </w:r>
      <w:r w:rsidRPr="008C3F6F">
        <w:rPr>
          <w:i/>
          <w:iCs/>
        </w:rPr>
        <w:t>адати</w:t>
      </w:r>
      <w:proofErr w:type="spellEnd"/>
      <w:r w:rsidRPr="008C3F6F">
        <w:rPr>
          <w:i/>
          <w:iCs/>
        </w:rPr>
        <w:t xml:space="preserve"> </w:t>
      </w:r>
      <w:proofErr w:type="spellStart"/>
      <w:r w:rsidRPr="008C3F6F">
        <w:rPr>
          <w:i/>
          <w:iCs/>
        </w:rPr>
        <w:t>гарантійний</w:t>
      </w:r>
      <w:proofErr w:type="spellEnd"/>
      <w:r w:rsidRPr="008C3F6F">
        <w:rPr>
          <w:i/>
          <w:iCs/>
        </w:rPr>
        <w:t xml:space="preserve"> лист у </w:t>
      </w:r>
      <w:proofErr w:type="spellStart"/>
      <w:r w:rsidRPr="008C3F6F">
        <w:rPr>
          <w:i/>
          <w:iCs/>
        </w:rPr>
        <w:t>складі</w:t>
      </w:r>
      <w:proofErr w:type="spellEnd"/>
      <w:r w:rsidRPr="008C3F6F">
        <w:rPr>
          <w:i/>
          <w:iCs/>
        </w:rPr>
        <w:t xml:space="preserve"> </w:t>
      </w:r>
      <w:proofErr w:type="spellStart"/>
      <w:r w:rsidRPr="008C3F6F">
        <w:rPr>
          <w:i/>
          <w:iCs/>
        </w:rPr>
        <w:t>Тендерної</w:t>
      </w:r>
      <w:proofErr w:type="spellEnd"/>
      <w:r w:rsidRPr="008C3F6F">
        <w:rPr>
          <w:i/>
          <w:iCs/>
        </w:rPr>
        <w:t xml:space="preserve"> </w:t>
      </w:r>
      <w:proofErr w:type="spellStart"/>
      <w:r w:rsidRPr="008C3F6F">
        <w:rPr>
          <w:i/>
          <w:iCs/>
        </w:rPr>
        <w:t>документації</w:t>
      </w:r>
      <w:proofErr w:type="spellEnd"/>
      <w:r>
        <w:rPr>
          <w:i/>
          <w:iCs/>
          <w:lang w:val="uk-UA"/>
        </w:rPr>
        <w:t>).</w:t>
      </w:r>
    </w:p>
    <w:p w14:paraId="6C6A0548" w14:textId="77777777" w:rsidR="00A64D6D" w:rsidRPr="00A64D6D" w:rsidRDefault="00A64D6D" w:rsidP="00A64D6D">
      <w:pPr>
        <w:tabs>
          <w:tab w:val="left" w:pos="851"/>
        </w:tabs>
        <w:spacing w:line="240" w:lineRule="exact"/>
        <w:rPr>
          <w:b/>
          <w:bCs/>
          <w:sz w:val="12"/>
          <w:szCs w:val="12"/>
          <w:lang w:val="uk-UA"/>
        </w:rPr>
      </w:pPr>
    </w:p>
    <w:p w14:paraId="3A597B4A" w14:textId="77777777" w:rsidR="00A64D6D" w:rsidRPr="003A5D07" w:rsidRDefault="00A64D6D" w:rsidP="00A64D6D">
      <w:pPr>
        <w:tabs>
          <w:tab w:val="left" w:pos="851"/>
        </w:tabs>
        <w:rPr>
          <w:b/>
          <w:bCs/>
          <w:lang w:val="uk-UA"/>
        </w:rPr>
      </w:pPr>
      <w:r w:rsidRPr="003A5D07">
        <w:rPr>
          <w:b/>
          <w:bCs/>
          <w:lang w:val="uk-UA"/>
        </w:rPr>
        <w:lastRenderedPageBreak/>
        <w:t>Вимоги до медичного лабораторного дослідження:</w:t>
      </w:r>
    </w:p>
    <w:p w14:paraId="15DBA186" w14:textId="77777777" w:rsidR="00A64D6D" w:rsidRPr="003A5D07" w:rsidRDefault="00A64D6D" w:rsidP="00A64D6D">
      <w:pPr>
        <w:pStyle w:val="ad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A5D07">
        <w:rPr>
          <w:rFonts w:ascii="Times New Roman" w:hAnsi="Times New Roman" w:cs="Times New Roman"/>
          <w:lang w:val="uk-UA"/>
        </w:rPr>
        <w:t>1) Вимоги до забору, транспортування та виконання лабораторного дослідження:</w:t>
      </w:r>
    </w:p>
    <w:p w14:paraId="25D04AC7" w14:textId="77777777" w:rsidR="00A64D6D" w:rsidRPr="008C3F6F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3A5D07">
        <w:rPr>
          <w:rFonts w:ascii="Times New Roman" w:hAnsi="Times New Roman" w:cs="Times New Roman"/>
          <w:lang w:val="uk-UA"/>
        </w:rPr>
        <w:t>Діагностика має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</w:p>
    <w:p w14:paraId="42D17781" w14:textId="77777777" w:rsidR="00A64D6D" w:rsidRPr="008C3F6F" w:rsidRDefault="00A64D6D" w:rsidP="00A64D6D">
      <w:pPr>
        <w:pStyle w:val="aa"/>
        <w:numPr>
          <w:ilvl w:val="0"/>
          <w:numId w:val="8"/>
        </w:numPr>
        <w:ind w:left="0" w:firstLine="284"/>
        <w:jc w:val="both"/>
        <w:rPr>
          <w:b/>
          <w:bCs/>
          <w:i/>
          <w:iCs/>
          <w:lang w:val="uk-UA"/>
        </w:rPr>
      </w:pPr>
      <w:r w:rsidRPr="008C3F6F">
        <w:rPr>
          <w:rFonts w:ascii="Times New Roman" w:hAnsi="Times New Roman" w:cs="Times New Roman"/>
          <w:lang w:val="uk-UA"/>
        </w:rPr>
        <w:t>Реактиви, реагенти та інші матеріали, які застосовуються при проведенні досліджень мають  підлягати державній реєстрації в Україні, повинні мати свідоцтво про державну реєстрацію, що надає право для їх реалізації та використання в Україні та повинні мати Сертифікат якості, що видається виробником. (</w:t>
      </w:r>
      <w:r>
        <w:rPr>
          <w:rFonts w:ascii="Times New Roman" w:hAnsi="Times New Roman" w:cs="Times New Roman"/>
          <w:i/>
          <w:lang w:val="uk-UA"/>
        </w:rPr>
        <w:t>н</w:t>
      </w:r>
      <w:r w:rsidRPr="008C3F6F">
        <w:rPr>
          <w:i/>
          <w:iCs/>
          <w:lang w:val="uk-UA" w:eastAsia="uk-UA"/>
        </w:rPr>
        <w:t>адати гарантійний лист у складі Тендерної документації.</w:t>
      </w:r>
      <w:r w:rsidRPr="008C3F6F">
        <w:rPr>
          <w:rFonts w:ascii="Times New Roman" w:hAnsi="Times New Roman" w:cs="Times New Roman"/>
          <w:lang w:val="uk-UA"/>
        </w:rPr>
        <w:t>)</w:t>
      </w:r>
    </w:p>
    <w:p w14:paraId="78E26714" w14:textId="77777777" w:rsidR="00A64D6D" w:rsidRPr="003A5D07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3A5D07">
        <w:rPr>
          <w:rFonts w:ascii="Times New Roman" w:hAnsi="Times New Roman" w:cs="Times New Roman"/>
          <w:lang w:val="uk-UA"/>
        </w:rPr>
        <w:t xml:space="preserve">Учасник має надати інформацію щодо забезпеченості забору </w:t>
      </w:r>
      <w:proofErr w:type="spellStart"/>
      <w:r w:rsidRPr="003A5D07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3A5D07">
        <w:rPr>
          <w:rFonts w:ascii="Times New Roman" w:hAnsi="Times New Roman" w:cs="Times New Roman"/>
          <w:lang w:val="uk-UA"/>
        </w:rPr>
        <w:t xml:space="preserve"> та надання лабораторних послуг працівниками відповідної кваліфікації (</w:t>
      </w:r>
      <w:r w:rsidRPr="003E4D52">
        <w:rPr>
          <w:rFonts w:ascii="Times New Roman" w:hAnsi="Times New Roman" w:cs="Times New Roman"/>
          <w:i/>
          <w:lang w:val="uk-UA"/>
        </w:rPr>
        <w:t>надати завірені відповідним чином копії документів про кваліфікацію працівників</w:t>
      </w:r>
      <w:r w:rsidRPr="003A5D07">
        <w:rPr>
          <w:rFonts w:ascii="Times New Roman" w:hAnsi="Times New Roman" w:cs="Times New Roman"/>
          <w:lang w:val="uk-UA"/>
        </w:rPr>
        <w:t>)</w:t>
      </w:r>
    </w:p>
    <w:p w14:paraId="20995497" w14:textId="77777777" w:rsidR="00A64D6D" w:rsidRPr="003A5D07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3A5D07">
        <w:rPr>
          <w:rFonts w:ascii="Times New Roman" w:hAnsi="Times New Roman" w:cs="Times New Roman"/>
          <w:lang w:val="uk-UA"/>
        </w:rPr>
        <w:t xml:space="preserve">З метою дотримання критеріїв точності та достовірності не допускається тривале зберігання </w:t>
      </w:r>
      <w:proofErr w:type="spellStart"/>
      <w:r w:rsidRPr="003A5D07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3A5D07">
        <w:rPr>
          <w:rFonts w:ascii="Times New Roman" w:hAnsi="Times New Roman" w:cs="Times New Roman"/>
          <w:lang w:val="uk-UA"/>
        </w:rPr>
        <w:t xml:space="preserve"> пацієнта для запобігання втраті його діагностичної інформативності. </w:t>
      </w:r>
    </w:p>
    <w:p w14:paraId="354EF51B" w14:textId="77777777" w:rsidR="00A64D6D" w:rsidRPr="003A5D07" w:rsidRDefault="00A64D6D" w:rsidP="00A64D6D">
      <w:pPr>
        <w:pStyle w:val="ad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3A5D07">
        <w:rPr>
          <w:rFonts w:ascii="Times New Roman" w:hAnsi="Times New Roman" w:cs="Times New Roman"/>
          <w:lang w:val="uk-UA"/>
        </w:rPr>
        <w:t>) Вимоги щодо термінів виконання медичної лабораторної діагностики:</w:t>
      </w:r>
    </w:p>
    <w:p w14:paraId="311DD4E4" w14:textId="77777777" w:rsidR="00A64D6D" w:rsidRPr="003A5D07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3A5D07">
        <w:rPr>
          <w:rFonts w:ascii="Times New Roman" w:hAnsi="Times New Roman" w:cs="Times New Roman"/>
          <w:lang w:val="uk-UA"/>
        </w:rPr>
        <w:t>Кінцевим етапом проведення діагностики має бути видача результату в паперовій формі у зазначений термін.</w:t>
      </w:r>
    </w:p>
    <w:p w14:paraId="607CFEA0" w14:textId="77777777" w:rsidR="00A64D6D" w:rsidRPr="003A5D07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3A5D07">
        <w:rPr>
          <w:rFonts w:ascii="Times New Roman" w:hAnsi="Times New Roman" w:cs="Times New Roman"/>
          <w:lang w:val="uk-UA"/>
        </w:rPr>
        <w:t xml:space="preserve">Учасник повинен негайно інформувати Замовника у випадках: невідповідності зразків </w:t>
      </w:r>
      <w:proofErr w:type="spellStart"/>
      <w:r w:rsidRPr="003A5D07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3A5D07">
        <w:rPr>
          <w:rFonts w:ascii="Times New Roman" w:hAnsi="Times New Roman" w:cs="Times New Roman"/>
          <w:lang w:val="uk-UA"/>
        </w:rPr>
        <w:t xml:space="preserve"> стандартам, неможливості виконати діагностику з будь-яких інших причин, неможливості надати результат.</w:t>
      </w:r>
    </w:p>
    <w:p w14:paraId="36412B20" w14:textId="77777777" w:rsidR="00A64D6D" w:rsidRPr="003A5D07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3A5D07">
        <w:rPr>
          <w:rFonts w:ascii="Times New Roman" w:hAnsi="Times New Roman" w:cs="Times New Roman"/>
          <w:lang w:val="uk-UA"/>
        </w:rPr>
        <w:t>Послуги діагностики вважаються наданими у разі видачі результату дослідження Замовнику</w:t>
      </w:r>
    </w:p>
    <w:p w14:paraId="7D202CC9" w14:textId="77777777" w:rsidR="00A64D6D" w:rsidRPr="003A5D07" w:rsidRDefault="00A64D6D" w:rsidP="00A64D6D">
      <w:pPr>
        <w:pStyle w:val="ad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3A5D07">
        <w:rPr>
          <w:rFonts w:ascii="Times New Roman" w:hAnsi="Times New Roman" w:cs="Times New Roman"/>
          <w:lang w:val="uk-UA"/>
        </w:rPr>
        <w:t>) Вимоги до стандартизації та уніфікації результатів діагностики:</w:t>
      </w:r>
    </w:p>
    <w:p w14:paraId="566303C5" w14:textId="77777777" w:rsidR="00A64D6D" w:rsidRPr="003E4D52" w:rsidRDefault="00A64D6D" w:rsidP="00A64D6D">
      <w:pPr>
        <w:pStyle w:val="ad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3A5D07">
        <w:rPr>
          <w:rFonts w:ascii="Times New Roman" w:hAnsi="Times New Roman" w:cs="Times New Roman"/>
          <w:lang w:val="uk-UA"/>
        </w:rPr>
        <w:t>Результат діагностики має видаватись в паперовому вигляді.</w:t>
      </w:r>
    </w:p>
    <w:p w14:paraId="2F947402" w14:textId="77777777" w:rsidR="00A64D6D" w:rsidRPr="003A5D07" w:rsidRDefault="00A64D6D" w:rsidP="00A64D6D">
      <w:pPr>
        <w:pStyle w:val="ad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3A5D07">
        <w:rPr>
          <w:rFonts w:ascii="Times New Roman" w:hAnsi="Times New Roman" w:cs="Times New Roman"/>
          <w:lang w:val="uk-UA"/>
        </w:rPr>
        <w:t>) Вимоги до захисту інформації:</w:t>
      </w:r>
    </w:p>
    <w:p w14:paraId="6D334997" w14:textId="77777777" w:rsidR="00A64D6D" w:rsidRDefault="00A64D6D" w:rsidP="00A64D6D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3A5D07">
        <w:rPr>
          <w:lang w:val="uk-UA"/>
        </w:rPr>
        <w:t>Результат діагностики, діагноз, персональні дані пацієнта та інша конфіденційна інформація не підлягає розголошенню та передачі іншим особам, окрім самого пацієнта, лікувального закладу, в який звернувся пацієнт та лабораторії.</w:t>
      </w:r>
      <w:r w:rsidRPr="00FC09D8">
        <w:rPr>
          <w:rFonts w:ascii="Times New Roman" w:hAnsi="Times New Roman" w:cs="Times New Roman"/>
          <w:lang w:val="uk-UA"/>
        </w:rPr>
        <w:t xml:space="preserve"> </w:t>
      </w:r>
      <w:r w:rsidRPr="008C3F6F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i/>
          <w:lang w:val="uk-UA"/>
        </w:rPr>
        <w:t>н</w:t>
      </w:r>
      <w:r w:rsidRPr="008C3F6F">
        <w:rPr>
          <w:i/>
          <w:iCs/>
          <w:lang w:val="uk-UA" w:eastAsia="uk-UA"/>
        </w:rPr>
        <w:t>адати гарантійний лист у складі Тендерної документації.</w:t>
      </w:r>
      <w:r w:rsidRPr="008C3F6F">
        <w:rPr>
          <w:rFonts w:ascii="Times New Roman" w:hAnsi="Times New Roman" w:cs="Times New Roman"/>
          <w:lang w:val="uk-UA"/>
        </w:rPr>
        <w:t>)</w:t>
      </w:r>
    </w:p>
    <w:p w14:paraId="639B1007" w14:textId="77777777" w:rsidR="00A64D6D" w:rsidRPr="00A64D6D" w:rsidRDefault="00A64D6D" w:rsidP="00A64D6D">
      <w:pPr>
        <w:ind w:firstLine="284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EC2C538" w14:textId="77777777" w:rsidR="00A64D6D" w:rsidRPr="00FB63FC" w:rsidRDefault="00A64D6D" w:rsidP="00A64D6D">
      <w:pPr>
        <w:spacing w:before="60" w:after="60" w:line="240" w:lineRule="exact"/>
        <w:jc w:val="both"/>
        <w:rPr>
          <w:rFonts w:ascii="Times New Roman" w:hAnsi="Times New Roman" w:cs="Times New Roman"/>
          <w:b/>
          <w:lang w:val="uk-UA"/>
        </w:rPr>
      </w:pPr>
      <w:r w:rsidRPr="00FB63FC">
        <w:rPr>
          <w:rFonts w:ascii="Times New Roman" w:hAnsi="Times New Roman" w:cs="Times New Roman"/>
          <w:b/>
          <w:lang w:val="uk-UA"/>
        </w:rPr>
        <w:t>Інші вимоги:</w:t>
      </w:r>
    </w:p>
    <w:p w14:paraId="2114C5AB" w14:textId="77777777" w:rsidR="00A64D6D" w:rsidRDefault="00A64D6D" w:rsidP="00A64D6D">
      <w:pPr>
        <w:pStyle w:val="af0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40" w:lineRule="exact"/>
        <w:ind w:left="0" w:firstLine="0"/>
        <w:jc w:val="both"/>
      </w:pPr>
      <w:r w:rsidRPr="008A62D2">
        <w:t>У разі виявлення замовником недостовірності результатів виконаних досліджень, учасник переробляє таке дослідження за власний рахунок.</w:t>
      </w:r>
    </w:p>
    <w:p w14:paraId="34F0002C" w14:textId="77777777" w:rsidR="00A64D6D" w:rsidRPr="00FB63FC" w:rsidRDefault="00A64D6D" w:rsidP="00A64D6D">
      <w:pPr>
        <w:pStyle w:val="af0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40" w:lineRule="exact"/>
        <w:ind w:left="0" w:firstLine="0"/>
        <w:jc w:val="both"/>
      </w:pPr>
      <w:r>
        <w:t>Розхідні матеріали, необхідні для проведення відбору матеріалу для дослідження, забезпечується Учасником (</w:t>
      </w:r>
      <w:r>
        <w:rPr>
          <w:i/>
        </w:rPr>
        <w:t>н</w:t>
      </w:r>
      <w:r w:rsidRPr="008C3F6F">
        <w:rPr>
          <w:i/>
          <w:iCs/>
        </w:rPr>
        <w:t>адати гарантійний лист у складі Тендерної документації</w:t>
      </w:r>
      <w:r>
        <w:rPr>
          <w:i/>
          <w:iCs/>
        </w:rPr>
        <w:t>)</w:t>
      </w:r>
    </w:p>
    <w:p w14:paraId="764363A9" w14:textId="77777777" w:rsidR="00A64D6D" w:rsidRDefault="00A64D6D" w:rsidP="00A64D6D">
      <w:pPr>
        <w:pStyle w:val="af0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40" w:lineRule="exact"/>
        <w:ind w:left="0" w:firstLine="0"/>
        <w:jc w:val="both"/>
      </w:pPr>
      <w:r w:rsidRPr="000845E6">
        <w:t>Забір матеріалу здійснюється Замовником у контейнери, які відп</w:t>
      </w:r>
      <w:r>
        <w:t>овідають нормам та термінам при</w:t>
      </w:r>
      <w:r w:rsidRPr="000845E6">
        <w:t>датності згідно чинного законодавства України та доставляються на пункт виконання послуг.</w:t>
      </w:r>
    </w:p>
    <w:p w14:paraId="125335C5" w14:textId="77777777" w:rsidR="00A64D6D" w:rsidRDefault="00A64D6D" w:rsidP="00A64D6D">
      <w:pPr>
        <w:pStyle w:val="af0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40" w:lineRule="exact"/>
        <w:ind w:left="0" w:firstLine="0"/>
        <w:jc w:val="both"/>
      </w:pPr>
      <w:r w:rsidRPr="00D30350">
        <w:t xml:space="preserve">Транспортування матеріалу для дослідження від місць забору (місця надання послуг) до </w:t>
      </w:r>
      <w:r w:rsidRPr="00856114">
        <w:t>лабораторії де фактично будуть проводиться дослідження має здійснюватися учасником</w:t>
      </w:r>
      <w:r w:rsidRPr="00D30350">
        <w:t xml:space="preserve"> самостійно за власний рахунок та власним транспортом або кур’є</w:t>
      </w:r>
      <w:r>
        <w:t xml:space="preserve">ром, або іншим зручним способом </w:t>
      </w:r>
      <w:r w:rsidRPr="005F3EBF">
        <w:t>з забезпеченням зберігання холодового ланцюжка та дотримання вимог санітарно епідеміологічного нагляду при транспортуванні</w:t>
      </w:r>
      <w:r w:rsidRPr="001D7AB4">
        <w:t>.</w:t>
      </w:r>
    </w:p>
    <w:p w14:paraId="1D428549" w14:textId="77777777" w:rsidR="00A64D6D" w:rsidRPr="008A62D2" w:rsidRDefault="00A64D6D" w:rsidP="00A64D6D">
      <w:pPr>
        <w:pStyle w:val="af0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40" w:lineRule="exact"/>
        <w:ind w:left="0" w:firstLine="0"/>
        <w:jc w:val="both"/>
      </w:pPr>
      <w:r>
        <w:t>Виконавець повинен мати реєстрацію в ЕСОЗ (</w:t>
      </w:r>
      <w:r>
        <w:rPr>
          <w:i/>
        </w:rPr>
        <w:t>н</w:t>
      </w:r>
      <w:r w:rsidRPr="008C3F6F">
        <w:rPr>
          <w:i/>
          <w:iCs/>
        </w:rPr>
        <w:t>адати гарантійний лист у складі Тендерної документації</w:t>
      </w:r>
      <w:r>
        <w:rPr>
          <w:i/>
          <w:iCs/>
        </w:rPr>
        <w:t>).</w:t>
      </w:r>
    </w:p>
    <w:p w14:paraId="314A25DA" w14:textId="77777777" w:rsidR="004824BF" w:rsidRDefault="004824BF" w:rsidP="00554A15">
      <w:pPr>
        <w:tabs>
          <w:tab w:val="left" w:pos="709"/>
        </w:tabs>
        <w:ind w:firstLine="567"/>
        <w:jc w:val="both"/>
        <w:rPr>
          <w:b/>
          <w:i/>
          <w:lang w:val="uk-UA"/>
        </w:rPr>
      </w:pPr>
    </w:p>
    <w:p w14:paraId="433A5E5A" w14:textId="77777777" w:rsidR="004824BF" w:rsidRDefault="004824BF" w:rsidP="00554A15">
      <w:pPr>
        <w:tabs>
          <w:tab w:val="left" w:pos="709"/>
        </w:tabs>
        <w:ind w:firstLine="567"/>
        <w:jc w:val="both"/>
        <w:rPr>
          <w:b/>
          <w:i/>
          <w:lang w:val="uk-UA"/>
        </w:rPr>
      </w:pPr>
    </w:p>
    <w:p w14:paraId="5081AAD4" w14:textId="77777777" w:rsidR="00355BF8" w:rsidRPr="00E553B5" w:rsidRDefault="00355BF8" w:rsidP="00355BF8">
      <w:pPr>
        <w:spacing w:line="264" w:lineRule="auto"/>
        <w:ind w:firstLine="567"/>
        <w:jc w:val="both"/>
        <w:rPr>
          <w:b/>
          <w:i/>
          <w:lang w:val="uk-UA"/>
        </w:rPr>
      </w:pPr>
      <w:r w:rsidRPr="00D3792D">
        <w:rPr>
          <w:b/>
          <w:i/>
          <w:lang w:val="uk-UA"/>
        </w:rPr>
        <w:t xml:space="preserve">Посада, </w:t>
      </w:r>
      <w:r>
        <w:rPr>
          <w:b/>
          <w:i/>
          <w:lang w:val="uk-UA"/>
        </w:rPr>
        <w:t>ім</w:t>
      </w:r>
      <w:r w:rsidRPr="00703F3E">
        <w:rPr>
          <w:b/>
          <w:i/>
          <w:lang w:val="uk-UA"/>
        </w:rPr>
        <w:t>’</w:t>
      </w:r>
      <w:r>
        <w:rPr>
          <w:b/>
          <w:i/>
          <w:lang w:val="uk-UA"/>
        </w:rPr>
        <w:t>я, прізвище,</w:t>
      </w:r>
      <w:r w:rsidRPr="00D3792D">
        <w:rPr>
          <w:b/>
          <w:i/>
          <w:lang w:val="uk-UA"/>
        </w:rPr>
        <w:t xml:space="preserve"> підпис уповноваженої особи Учасника.</w:t>
      </w:r>
    </w:p>
    <w:p w14:paraId="332ADF56" w14:textId="403F1E7E" w:rsidR="006F7E09" w:rsidRPr="00E553B5" w:rsidRDefault="006F7E09" w:rsidP="00355BF8">
      <w:pPr>
        <w:tabs>
          <w:tab w:val="left" w:pos="709"/>
        </w:tabs>
        <w:ind w:firstLine="567"/>
        <w:jc w:val="both"/>
        <w:rPr>
          <w:b/>
          <w:i/>
          <w:lang w:val="uk-UA"/>
        </w:rPr>
      </w:pPr>
    </w:p>
    <w:sectPr w:rsidR="006F7E09" w:rsidRPr="00E553B5" w:rsidSect="00DB6E39">
      <w:pgSz w:w="11906" w:h="16838"/>
      <w:pgMar w:top="680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D3E"/>
    <w:multiLevelType w:val="hybridMultilevel"/>
    <w:tmpl w:val="73340F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E7FBF"/>
    <w:multiLevelType w:val="hybridMultilevel"/>
    <w:tmpl w:val="45CE73A6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105"/>
    <w:multiLevelType w:val="hybridMultilevel"/>
    <w:tmpl w:val="657EFF66"/>
    <w:lvl w:ilvl="0" w:tplc="BDD2B9E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6" w15:restartNumberingAfterBreak="0">
    <w:nsid w:val="2BB20387"/>
    <w:multiLevelType w:val="hybridMultilevel"/>
    <w:tmpl w:val="07F6C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158"/>
    <w:multiLevelType w:val="hybridMultilevel"/>
    <w:tmpl w:val="8788DBAE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DA4"/>
    <w:multiLevelType w:val="hybridMultilevel"/>
    <w:tmpl w:val="13ACF702"/>
    <w:lvl w:ilvl="0" w:tplc="7602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9F4"/>
    <w:multiLevelType w:val="hybridMultilevel"/>
    <w:tmpl w:val="AB36E76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4049"/>
    <w:multiLevelType w:val="hybridMultilevel"/>
    <w:tmpl w:val="0A5E0554"/>
    <w:lvl w:ilvl="0" w:tplc="BA1C64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6D1"/>
    <w:multiLevelType w:val="hybridMultilevel"/>
    <w:tmpl w:val="966C5392"/>
    <w:lvl w:ilvl="0" w:tplc="991C3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21B4"/>
    <w:multiLevelType w:val="hybridMultilevel"/>
    <w:tmpl w:val="8384DB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2"/>
    <w:rsid w:val="00022939"/>
    <w:rsid w:val="00042A89"/>
    <w:rsid w:val="001C5C41"/>
    <w:rsid w:val="00295AB2"/>
    <w:rsid w:val="00355BF8"/>
    <w:rsid w:val="003921DB"/>
    <w:rsid w:val="003A7498"/>
    <w:rsid w:val="003E4D52"/>
    <w:rsid w:val="003E794E"/>
    <w:rsid w:val="003F201A"/>
    <w:rsid w:val="00430F8C"/>
    <w:rsid w:val="004824BF"/>
    <w:rsid w:val="004A7E5D"/>
    <w:rsid w:val="00554A15"/>
    <w:rsid w:val="00603F44"/>
    <w:rsid w:val="006F7E09"/>
    <w:rsid w:val="00753C8B"/>
    <w:rsid w:val="00754539"/>
    <w:rsid w:val="007A3EB3"/>
    <w:rsid w:val="008962CF"/>
    <w:rsid w:val="008A67AC"/>
    <w:rsid w:val="008C16AC"/>
    <w:rsid w:val="008C3F6F"/>
    <w:rsid w:val="00A34A3A"/>
    <w:rsid w:val="00A64D6D"/>
    <w:rsid w:val="00CB3121"/>
    <w:rsid w:val="00D4558A"/>
    <w:rsid w:val="00DB6E39"/>
    <w:rsid w:val="00E760BA"/>
    <w:rsid w:val="00E8383B"/>
    <w:rsid w:val="00E83D51"/>
    <w:rsid w:val="00F60573"/>
    <w:rsid w:val="00FC09D8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FBD6"/>
  <w15:chartTrackingRefBased/>
  <w15:docId w15:val="{39690425-B0C1-4360-9519-90752AA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B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3921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4">
    <w:name w:val="heading 4"/>
    <w:basedOn w:val="a"/>
    <w:next w:val="a"/>
    <w:link w:val="40"/>
    <w:qFormat/>
    <w:rsid w:val="008A67AC"/>
    <w:pPr>
      <w:keepNext/>
      <w:widowControl/>
      <w:suppressAutoHyphens w:val="0"/>
      <w:autoSpaceDE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A67AC"/>
    <w:pPr>
      <w:widowControl/>
      <w:suppressAutoHyphens w:val="0"/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A67AC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AB2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4">
    <w:name w:val="Без интервала Знак"/>
    <w:link w:val="a3"/>
    <w:uiPriority w:val="1"/>
    <w:locked/>
    <w:rsid w:val="00295AB2"/>
    <w:rPr>
      <w:rFonts w:ascii="Calibri" w:eastAsia="Times New Roman" w:hAnsi="Calibri" w:cs="Calibri"/>
      <w:lang w:val="ru-RU" w:eastAsia="zh-CN"/>
    </w:rPr>
  </w:style>
  <w:style w:type="paragraph" w:customStyle="1" w:styleId="a5">
    <w:name w:val="Без інтервалів"/>
    <w:rsid w:val="0029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295A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E79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94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a8">
    <w:name w:val="Основний текст_"/>
    <w:link w:val="11"/>
    <w:locked/>
    <w:rsid w:val="00DB6E39"/>
    <w:rPr>
      <w:shd w:val="clear" w:color="auto" w:fill="FFFFFF"/>
    </w:rPr>
  </w:style>
  <w:style w:type="paragraph" w:customStyle="1" w:styleId="11">
    <w:name w:val="Основний текст1"/>
    <w:basedOn w:val="a"/>
    <w:link w:val="a8"/>
    <w:rsid w:val="00DB6E39"/>
    <w:pPr>
      <w:shd w:val="clear" w:color="auto" w:fill="FFFFFF"/>
      <w:suppressAutoHyphens w:val="0"/>
      <w:autoSpaceDE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ий текст + Напівжирний"/>
    <w:aliases w:val="Курсив"/>
    <w:rsid w:val="00DB6E3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/>
    </w:rPr>
  </w:style>
  <w:style w:type="paragraph" w:customStyle="1" w:styleId="12">
    <w:name w:val="Без інтервалів1"/>
    <w:uiPriority w:val="1"/>
    <w:qFormat/>
    <w:rsid w:val="00DB6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B6E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character" w:customStyle="1" w:styleId="3">
    <w:name w:val="Основной шрифт абзаца3"/>
    <w:rsid w:val="00DB6E39"/>
  </w:style>
  <w:style w:type="paragraph" w:styleId="aa">
    <w:name w:val="List Paragraph"/>
    <w:aliases w:val="Numbered List,Список уровня 2"/>
    <w:basedOn w:val="a"/>
    <w:link w:val="ab"/>
    <w:uiPriority w:val="34"/>
    <w:qFormat/>
    <w:rsid w:val="00DB6E39"/>
    <w:pPr>
      <w:ind w:left="720"/>
      <w:contextualSpacing/>
    </w:pPr>
  </w:style>
  <w:style w:type="table" w:styleId="ac">
    <w:name w:val="Table Grid"/>
    <w:basedOn w:val="a1"/>
    <w:uiPriority w:val="39"/>
    <w:rsid w:val="00D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uiPriority w:val="99"/>
    <w:rsid w:val="003E4D52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docdata">
    <w:name w:val="docdata"/>
    <w:aliases w:val="docy,v5,3546,baiaagaaboqcaaadewwaaauhd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E4D5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921D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e">
    <w:name w:val="Intense Reference"/>
    <w:uiPriority w:val="32"/>
    <w:qFormat/>
    <w:rsid w:val="008A67AC"/>
    <w:rPr>
      <w:b/>
      <w:bCs/>
      <w:smallCaps/>
      <w:color w:val="5B9BD5"/>
      <w:spacing w:val="5"/>
    </w:rPr>
  </w:style>
  <w:style w:type="character" w:customStyle="1" w:styleId="40">
    <w:name w:val="Заголовок 4 Знак"/>
    <w:basedOn w:val="a0"/>
    <w:link w:val="4"/>
    <w:rsid w:val="008A67A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A67A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8A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8A67AC"/>
    <w:rPr>
      <w:i/>
      <w:iCs/>
    </w:rPr>
  </w:style>
  <w:style w:type="character" w:customStyle="1" w:styleId="2">
    <w:name w:val="Основной текст (2)"/>
    <w:rsid w:val="008A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b">
    <w:name w:val="Абзац списка Знак"/>
    <w:aliases w:val="Numbered List Знак,Список уровня 2 Знак"/>
    <w:link w:val="aa"/>
    <w:uiPriority w:val="34"/>
    <w:locked/>
    <w:rsid w:val="00FD430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Hyperlink2">
    <w:name w:val="Hyperlink.2"/>
    <w:rsid w:val="00042A89"/>
    <w:rPr>
      <w:lang w:val="ru-RU"/>
    </w:rPr>
  </w:style>
  <w:style w:type="paragraph" w:styleId="af0">
    <w:name w:val="Body Text Indent"/>
    <w:basedOn w:val="a"/>
    <w:link w:val="af1"/>
    <w:uiPriority w:val="99"/>
    <w:rsid w:val="00A64D6D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4D6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10</cp:revision>
  <cp:lastPrinted>2020-05-20T13:25:00Z</cp:lastPrinted>
  <dcterms:created xsi:type="dcterms:W3CDTF">2022-01-18T11:47:00Z</dcterms:created>
  <dcterms:modified xsi:type="dcterms:W3CDTF">2023-11-10T10:13:00Z</dcterms:modified>
</cp:coreProperties>
</file>