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DF" w:rsidRDefault="002449DF" w:rsidP="002449DF">
      <w:pPr>
        <w:widowControl w:val="0"/>
        <w:autoSpaceDE w:val="0"/>
        <w:autoSpaceDN w:val="0"/>
        <w:adjustRightInd w:val="0"/>
        <w:jc w:val="right"/>
        <w:rPr>
          <w:b/>
          <w:bCs/>
          <w:i/>
          <w:iCs/>
          <w:lang w:val="ru-RU"/>
        </w:rPr>
      </w:pPr>
      <w:r>
        <w:rPr>
          <w:b/>
          <w:bCs/>
          <w:i/>
          <w:iCs/>
        </w:rPr>
        <w:t>Додаток 2</w:t>
      </w:r>
    </w:p>
    <w:p w:rsidR="002449DF" w:rsidRDefault="002449DF" w:rsidP="002449DF">
      <w:pPr>
        <w:widowControl w:val="0"/>
        <w:tabs>
          <w:tab w:val="left" w:pos="4860"/>
        </w:tabs>
        <w:autoSpaceDE w:val="0"/>
        <w:autoSpaceDN w:val="0"/>
        <w:adjustRightInd w:val="0"/>
        <w:jc w:val="right"/>
        <w:rPr>
          <w:b/>
          <w:bCs/>
          <w:i/>
          <w:iCs/>
        </w:rPr>
      </w:pPr>
      <w:r>
        <w:rPr>
          <w:b/>
          <w:bCs/>
          <w:i/>
          <w:iCs/>
        </w:rPr>
        <w:t xml:space="preserve">до тендерної документації </w:t>
      </w:r>
    </w:p>
    <w:p w:rsidR="009760E8" w:rsidRPr="00D418FA" w:rsidRDefault="009760E8" w:rsidP="009760E8">
      <w:pPr>
        <w:tabs>
          <w:tab w:val="left" w:pos="993"/>
        </w:tabs>
        <w:rPr>
          <w:b/>
          <w:sz w:val="28"/>
          <w:szCs w:val="28"/>
        </w:rPr>
      </w:pPr>
    </w:p>
    <w:p w:rsidR="00F52B4F" w:rsidRPr="00310A44" w:rsidRDefault="00F52B4F" w:rsidP="00F52B4F">
      <w:pPr>
        <w:spacing w:before="240"/>
        <w:jc w:val="center"/>
      </w:pPr>
      <w:r w:rsidRPr="00310A44">
        <w:rPr>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F52B4F" w:rsidRPr="00310A44" w:rsidRDefault="00F52B4F" w:rsidP="00F52B4F">
      <w:pPr>
        <w:spacing w:before="240"/>
        <w:jc w:val="center"/>
        <w:rPr>
          <w:b/>
          <w:bCs/>
          <w:i/>
          <w:iCs/>
          <w:shd w:val="clear" w:color="auto" w:fill="FFFFFF"/>
        </w:rPr>
      </w:pPr>
      <w:r w:rsidRPr="00310A44">
        <w:rPr>
          <w:b/>
          <w:bCs/>
          <w:i/>
          <w:iCs/>
          <w:shd w:val="clear" w:color="auto" w:fill="FFFFFF"/>
        </w:rPr>
        <w:t>ТЕХНІЧНА СПЕЦИФІКАЦІЯ</w:t>
      </w:r>
    </w:p>
    <w:p w:rsidR="00F52B4F" w:rsidRPr="008D4B8C" w:rsidRDefault="00F52B4F" w:rsidP="00F52B4F">
      <w:pPr>
        <w:spacing w:before="240" w:after="240"/>
        <w:ind w:firstLine="720"/>
        <w:contextualSpacing/>
        <w:jc w:val="both"/>
      </w:pPr>
      <w:r w:rsidRPr="008D4B8C">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52B4F" w:rsidRPr="008D4B8C" w:rsidRDefault="00F52B4F" w:rsidP="00F52B4F">
      <w:pPr>
        <w:shd w:val="clear" w:color="auto" w:fill="FFFFFF"/>
        <w:ind w:firstLine="460"/>
        <w:contextualSpacing/>
        <w:jc w:val="both"/>
      </w:pPr>
      <w:r w:rsidRPr="008D4B8C">
        <w:rPr>
          <w:b/>
          <w:bCs/>
        </w:rPr>
        <w:t>Фактом подання тендерної пропозиції учасник підтверджує відповідність своєї пропозиції</w:t>
      </w:r>
      <w:r w:rsidRPr="008D4B8C">
        <w:t xml:space="preserve"> </w:t>
      </w:r>
      <w:r w:rsidRPr="008D4B8C">
        <w:rPr>
          <w:b/>
          <w:bCs/>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w:t>
      </w:r>
      <w:r w:rsidR="00BF56B8">
        <w:rPr>
          <w:b/>
          <w:bCs/>
        </w:rPr>
        <w:t xml:space="preserve">у закупівлі, що містяться в </w:t>
      </w:r>
      <w:r w:rsidRPr="008D4B8C">
        <w:rPr>
          <w:b/>
          <w:bCs/>
        </w:rPr>
        <w:t>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52B4F" w:rsidRPr="00310A44" w:rsidRDefault="00F52B4F" w:rsidP="00F52B4F">
      <w:pPr>
        <w:rPr>
          <w:b/>
        </w:rPr>
      </w:pPr>
    </w:p>
    <w:tbl>
      <w:tblPr>
        <w:tblW w:w="964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tblGrid>
      <w:tr w:rsidR="00F52B4F" w:rsidRPr="00310A44" w:rsidTr="003A52BE">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52B4F" w:rsidRPr="00310A44" w:rsidRDefault="00F52B4F" w:rsidP="00291CEC">
            <w:r w:rsidRPr="00310A44">
              <w:t xml:space="preserve">Конкретне </w:t>
            </w:r>
            <w:r w:rsidRPr="00310A44">
              <w:rPr>
                <w:lang w:eastAsia="uk-UA"/>
              </w:rPr>
              <w:t>найменування закупівлі</w:t>
            </w:r>
          </w:p>
        </w:tc>
        <w:tc>
          <w:tcPr>
            <w:tcW w:w="6804" w:type="dxa"/>
            <w:tcBorders>
              <w:top w:val="single" w:sz="6" w:space="0" w:color="auto"/>
              <w:left w:val="single" w:sz="6" w:space="0" w:color="auto"/>
              <w:bottom w:val="single" w:sz="6" w:space="0" w:color="auto"/>
              <w:right w:val="single" w:sz="6" w:space="0" w:color="auto"/>
            </w:tcBorders>
            <w:vAlign w:val="center"/>
          </w:tcPr>
          <w:p w:rsidR="00F52B4F" w:rsidRPr="00310A44" w:rsidRDefault="00FB40DB" w:rsidP="002456CD">
            <w:r w:rsidRPr="002456CD">
              <w:rPr>
                <w:color w:val="000000"/>
              </w:rPr>
              <w:t xml:space="preserve">Електрична енергія </w:t>
            </w:r>
          </w:p>
        </w:tc>
      </w:tr>
      <w:tr w:rsidR="00F52B4F" w:rsidRPr="00310A44" w:rsidTr="003A52BE">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52B4F" w:rsidRPr="00310A44" w:rsidRDefault="00F52B4F" w:rsidP="00291CEC">
            <w:r w:rsidRPr="00310A44">
              <w:t>Код ДК 021:2015</w:t>
            </w:r>
          </w:p>
        </w:tc>
        <w:tc>
          <w:tcPr>
            <w:tcW w:w="6804" w:type="dxa"/>
            <w:tcBorders>
              <w:top w:val="single" w:sz="6" w:space="0" w:color="auto"/>
              <w:left w:val="single" w:sz="6" w:space="0" w:color="auto"/>
              <w:bottom w:val="single" w:sz="6" w:space="0" w:color="auto"/>
              <w:right w:val="single" w:sz="6" w:space="0" w:color="auto"/>
            </w:tcBorders>
            <w:vAlign w:val="center"/>
          </w:tcPr>
          <w:p w:rsidR="00F52B4F" w:rsidRPr="00310A44" w:rsidRDefault="00DE1370" w:rsidP="00291CEC">
            <w:r>
              <w:t xml:space="preserve">09310000-5 </w:t>
            </w:r>
            <w:r w:rsidR="008F6B5D">
              <w:t>- Електрична енергія</w:t>
            </w:r>
          </w:p>
        </w:tc>
      </w:tr>
      <w:tr w:rsidR="00F52B4F" w:rsidRPr="00310A44" w:rsidTr="003A52BE">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52B4F" w:rsidRPr="00310A44" w:rsidRDefault="00F52B4F" w:rsidP="00291CEC">
            <w:r w:rsidRPr="00310A44">
              <w:t>Місце поставки товару</w:t>
            </w:r>
          </w:p>
        </w:tc>
        <w:tc>
          <w:tcPr>
            <w:tcW w:w="6804" w:type="dxa"/>
            <w:tcBorders>
              <w:top w:val="single" w:sz="6" w:space="0" w:color="auto"/>
              <w:left w:val="single" w:sz="6" w:space="0" w:color="auto"/>
              <w:bottom w:val="single" w:sz="6" w:space="0" w:color="auto"/>
              <w:right w:val="single" w:sz="6" w:space="0" w:color="auto"/>
            </w:tcBorders>
          </w:tcPr>
          <w:p w:rsidR="00F52B4F" w:rsidRPr="00E66BDA" w:rsidRDefault="00107AA1" w:rsidP="006D2119">
            <w:r w:rsidRPr="00E66BDA">
              <w:rPr>
                <w:color w:val="000000"/>
              </w:rPr>
              <w:t xml:space="preserve">вул. </w:t>
            </w:r>
            <w:r w:rsidR="007F1DF4">
              <w:rPr>
                <w:color w:val="000000"/>
              </w:rPr>
              <w:t>Івана та Юрія Лип, 24-А</w:t>
            </w:r>
            <w:r w:rsidR="006D2119">
              <w:rPr>
                <w:color w:val="000000"/>
              </w:rPr>
              <w:t>, м. Одеса, 65078</w:t>
            </w:r>
          </w:p>
        </w:tc>
      </w:tr>
      <w:tr w:rsidR="00F52B4F" w:rsidRPr="00310A44" w:rsidTr="003A52BE">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F52B4F" w:rsidRPr="00310A44" w:rsidRDefault="00F52B4F" w:rsidP="00291CEC">
            <w:r w:rsidRPr="00310A44">
              <w:t>Строк поставки товару</w:t>
            </w:r>
          </w:p>
        </w:tc>
        <w:tc>
          <w:tcPr>
            <w:tcW w:w="6804" w:type="dxa"/>
            <w:tcBorders>
              <w:top w:val="single" w:sz="6" w:space="0" w:color="auto"/>
              <w:left w:val="single" w:sz="6" w:space="0" w:color="auto"/>
              <w:bottom w:val="single" w:sz="6" w:space="0" w:color="auto"/>
              <w:right w:val="single" w:sz="6" w:space="0" w:color="auto"/>
            </w:tcBorders>
          </w:tcPr>
          <w:p w:rsidR="00F52B4F" w:rsidRPr="00310A44" w:rsidRDefault="00074AF1" w:rsidP="007F1DF4">
            <w:pPr>
              <w:rPr>
                <w:shd w:val="clear" w:color="auto" w:fill="FFFFFF"/>
                <w:lang w:eastAsia="uk-UA"/>
              </w:rPr>
            </w:pPr>
            <w:r>
              <w:rPr>
                <w:color w:val="000000"/>
              </w:rPr>
              <w:t>Цілодобово</w:t>
            </w:r>
            <w:r w:rsidR="00F52B4F" w:rsidRPr="00310A44">
              <w:rPr>
                <w:color w:val="000000"/>
              </w:rPr>
              <w:t xml:space="preserve"> </w:t>
            </w:r>
            <w:r w:rsidR="00FB40DB">
              <w:rPr>
                <w:color w:val="000000"/>
              </w:rPr>
              <w:t xml:space="preserve">з </w:t>
            </w:r>
            <w:r w:rsidR="00A45EF8">
              <w:rPr>
                <w:color w:val="000000"/>
              </w:rPr>
              <w:t>01.0</w:t>
            </w:r>
            <w:r w:rsidR="004A090A">
              <w:rPr>
                <w:color w:val="000000"/>
              </w:rPr>
              <w:t>1.202</w:t>
            </w:r>
            <w:r w:rsidR="007F1DF4">
              <w:rPr>
                <w:color w:val="000000"/>
              </w:rPr>
              <w:t>4</w:t>
            </w:r>
            <w:r w:rsidR="00A32AD2">
              <w:rPr>
                <w:color w:val="000000"/>
              </w:rPr>
              <w:t xml:space="preserve"> д</w:t>
            </w:r>
            <w:r>
              <w:rPr>
                <w:color w:val="000000"/>
              </w:rPr>
              <w:t xml:space="preserve">о </w:t>
            </w:r>
            <w:r w:rsidR="00A45EF8">
              <w:rPr>
                <w:color w:val="000000"/>
              </w:rPr>
              <w:t>31.</w:t>
            </w:r>
            <w:r w:rsidR="00A45EF8">
              <w:rPr>
                <w:color w:val="000000"/>
                <w:lang w:val="ru-RU"/>
              </w:rPr>
              <w:t>12</w:t>
            </w:r>
            <w:r w:rsidR="00F52B4F" w:rsidRPr="00310A44">
              <w:rPr>
                <w:color w:val="000000"/>
              </w:rPr>
              <w:t>.202</w:t>
            </w:r>
            <w:r w:rsidR="007F1DF4">
              <w:rPr>
                <w:color w:val="000000"/>
              </w:rPr>
              <w:t>4</w:t>
            </w:r>
            <w:r w:rsidR="00F52B4F">
              <w:rPr>
                <w:color w:val="000000"/>
              </w:rPr>
              <w:t xml:space="preserve"> </w:t>
            </w:r>
            <w:r>
              <w:rPr>
                <w:color w:val="000000"/>
              </w:rPr>
              <w:t>(</w:t>
            </w:r>
            <w:r w:rsidR="00F52B4F">
              <w:rPr>
                <w:color w:val="000000"/>
              </w:rPr>
              <w:t>включно</w:t>
            </w:r>
            <w:r>
              <w:rPr>
                <w:color w:val="000000"/>
              </w:rPr>
              <w:t>)</w:t>
            </w:r>
            <w:r w:rsidR="00F52B4F" w:rsidRPr="00310A44">
              <w:rPr>
                <w:color w:val="000000"/>
              </w:rPr>
              <w:t xml:space="preserve">. </w:t>
            </w:r>
          </w:p>
        </w:tc>
      </w:tr>
    </w:tbl>
    <w:p w:rsidR="00F52B4F" w:rsidRPr="00310A44" w:rsidRDefault="00F52B4F" w:rsidP="00F52B4F">
      <w:pPr>
        <w:jc w:val="center"/>
        <w:rPr>
          <w:b/>
        </w:rPr>
      </w:pPr>
    </w:p>
    <w:p w:rsidR="00F52B4F" w:rsidRPr="00310A44" w:rsidRDefault="00F52B4F" w:rsidP="00F52B4F">
      <w:pPr>
        <w:spacing w:after="120"/>
        <w:jc w:val="center"/>
        <w:rPr>
          <w:b/>
        </w:rPr>
      </w:pPr>
      <w:r w:rsidRPr="00310A44">
        <w:rPr>
          <w:b/>
        </w:rPr>
        <w:t>Детальний опис предмета закупівлі та вимоги щодо якості</w:t>
      </w:r>
    </w:p>
    <w:tbl>
      <w:tblPr>
        <w:tblpPr w:leftFromText="180" w:rightFromText="180" w:vertAnchor="text" w:horzAnchor="margin" w:tblpX="-10" w:tblpY="1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1701"/>
        <w:gridCol w:w="1276"/>
        <w:gridCol w:w="1417"/>
        <w:gridCol w:w="1985"/>
      </w:tblGrid>
      <w:tr w:rsidR="00250FE9" w:rsidRPr="00310A44" w:rsidTr="003A52BE">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rsidR="00250FE9" w:rsidRPr="00074AF1" w:rsidRDefault="00250FE9" w:rsidP="00291CEC">
            <w:pPr>
              <w:jc w:val="center"/>
              <w:rPr>
                <w:b/>
                <w:sz w:val="22"/>
                <w:szCs w:val="22"/>
              </w:rPr>
            </w:pPr>
            <w:r w:rsidRPr="00074AF1">
              <w:rPr>
                <w:b/>
                <w:sz w:val="22"/>
                <w:szCs w:val="22"/>
              </w:rPr>
              <w:t>№ з/п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250FE9" w:rsidRPr="00074AF1" w:rsidRDefault="00250FE9" w:rsidP="00291CEC">
            <w:pPr>
              <w:ind w:right="-110"/>
              <w:jc w:val="center"/>
              <w:rPr>
                <w:b/>
                <w:sz w:val="22"/>
                <w:szCs w:val="22"/>
              </w:rPr>
            </w:pPr>
            <w:r w:rsidRPr="00074AF1">
              <w:rPr>
                <w:b/>
                <w:bCs/>
                <w:color w:val="000000"/>
                <w:sz w:val="22"/>
                <w:szCs w:val="22"/>
              </w:rPr>
              <w:t>Найменування Товару</w:t>
            </w:r>
          </w:p>
        </w:tc>
        <w:tc>
          <w:tcPr>
            <w:tcW w:w="1701" w:type="dxa"/>
            <w:tcBorders>
              <w:top w:val="single" w:sz="4" w:space="0" w:color="auto"/>
              <w:left w:val="single" w:sz="4" w:space="0" w:color="auto"/>
              <w:bottom w:val="single" w:sz="4" w:space="0" w:color="auto"/>
              <w:right w:val="single" w:sz="4" w:space="0" w:color="auto"/>
            </w:tcBorders>
          </w:tcPr>
          <w:p w:rsidR="00250FE9" w:rsidRPr="00074AF1" w:rsidRDefault="00250FE9" w:rsidP="00291CEC">
            <w:pPr>
              <w:jc w:val="center"/>
              <w:rPr>
                <w:b/>
                <w:sz w:val="22"/>
                <w:szCs w:val="22"/>
              </w:rPr>
            </w:pPr>
            <w:r w:rsidRPr="00074AF1">
              <w:rPr>
                <w:b/>
                <w:bCs/>
                <w:sz w:val="22"/>
                <w:szCs w:val="22"/>
              </w:rPr>
              <w:t>Категорія площадки вимірювання Споживача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0FE9" w:rsidRPr="00074AF1" w:rsidRDefault="00250FE9" w:rsidP="00291CEC">
            <w:pPr>
              <w:jc w:val="center"/>
              <w:rPr>
                <w:b/>
                <w:sz w:val="22"/>
                <w:szCs w:val="22"/>
              </w:rPr>
            </w:pPr>
            <w:r w:rsidRPr="00074AF1">
              <w:rPr>
                <w:b/>
                <w:sz w:val="22"/>
                <w:szCs w:val="22"/>
              </w:rPr>
              <w:t>Клас напруги</w:t>
            </w:r>
          </w:p>
        </w:tc>
        <w:tc>
          <w:tcPr>
            <w:tcW w:w="1417" w:type="dxa"/>
            <w:tcBorders>
              <w:top w:val="single" w:sz="4" w:space="0" w:color="auto"/>
              <w:left w:val="single" w:sz="4" w:space="0" w:color="auto"/>
              <w:bottom w:val="single" w:sz="4" w:space="0" w:color="auto"/>
              <w:right w:val="single" w:sz="4" w:space="0" w:color="auto"/>
            </w:tcBorders>
            <w:vAlign w:val="center"/>
          </w:tcPr>
          <w:p w:rsidR="00250FE9" w:rsidRPr="00074AF1" w:rsidRDefault="00250FE9" w:rsidP="00291CEC">
            <w:pPr>
              <w:jc w:val="center"/>
              <w:rPr>
                <w:b/>
                <w:sz w:val="22"/>
                <w:szCs w:val="22"/>
              </w:rPr>
            </w:pPr>
            <w:r w:rsidRPr="00074AF1">
              <w:rPr>
                <w:b/>
                <w:bCs/>
                <w:sz w:val="22"/>
                <w:szCs w:val="22"/>
              </w:rPr>
              <w:t>Одиниці виміру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0FE9" w:rsidRPr="00074AF1" w:rsidRDefault="00250FE9" w:rsidP="00291CEC">
            <w:pPr>
              <w:jc w:val="center"/>
              <w:rPr>
                <w:b/>
                <w:sz w:val="22"/>
                <w:szCs w:val="22"/>
              </w:rPr>
            </w:pPr>
            <w:r w:rsidRPr="00074AF1">
              <w:rPr>
                <w:b/>
                <w:bCs/>
                <w:sz w:val="22"/>
                <w:szCs w:val="22"/>
              </w:rPr>
              <w:t>Кількість</w:t>
            </w:r>
          </w:p>
        </w:tc>
      </w:tr>
      <w:tr w:rsidR="00250FE9" w:rsidRPr="00310A44" w:rsidTr="003A52BE">
        <w:trPr>
          <w:trHeight w:val="698"/>
        </w:trPr>
        <w:tc>
          <w:tcPr>
            <w:tcW w:w="534" w:type="dxa"/>
            <w:tcBorders>
              <w:top w:val="single" w:sz="4" w:space="0" w:color="auto"/>
              <w:left w:val="single" w:sz="4" w:space="0" w:color="auto"/>
              <w:bottom w:val="single" w:sz="4" w:space="0" w:color="auto"/>
              <w:right w:val="single" w:sz="4" w:space="0" w:color="auto"/>
            </w:tcBorders>
            <w:vAlign w:val="center"/>
            <w:hideMark/>
          </w:tcPr>
          <w:p w:rsidR="00250FE9" w:rsidRPr="00310A44" w:rsidRDefault="00250FE9" w:rsidP="00291CEC">
            <w:pPr>
              <w:jc w:val="center"/>
            </w:pPr>
            <w:r w:rsidRPr="00310A44">
              <w:t>1</w:t>
            </w:r>
          </w:p>
        </w:tc>
        <w:tc>
          <w:tcPr>
            <w:tcW w:w="2438" w:type="dxa"/>
            <w:tcBorders>
              <w:top w:val="single" w:sz="4" w:space="0" w:color="auto"/>
              <w:left w:val="single" w:sz="4" w:space="0" w:color="auto"/>
              <w:bottom w:val="single" w:sz="4" w:space="0" w:color="auto"/>
              <w:right w:val="single" w:sz="4" w:space="0" w:color="auto"/>
            </w:tcBorders>
            <w:vAlign w:val="center"/>
          </w:tcPr>
          <w:p w:rsidR="00250FE9" w:rsidRPr="00310A44" w:rsidRDefault="00250FE9" w:rsidP="00DA21BE">
            <w:pPr>
              <w:jc w:val="center"/>
              <w:rPr>
                <w:color w:val="000000"/>
              </w:rPr>
            </w:pPr>
            <w:r w:rsidRPr="00310A44">
              <w:t>Електрична енергія</w:t>
            </w:r>
            <w: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50FE9" w:rsidRPr="00310A44" w:rsidRDefault="00250FE9" w:rsidP="00291CEC">
            <w:pPr>
              <w:jc w:val="center"/>
            </w:pPr>
            <w:r>
              <w:t xml:space="preserve">Група </w:t>
            </w:r>
            <w:r w:rsidR="00182451" w:rsidRPr="00182451">
              <w:t>"</w:t>
            </w:r>
            <w:r w:rsidR="007E7B0F">
              <w:t>3</w:t>
            </w:r>
            <w:r w:rsidR="00182451" w:rsidRPr="00182451">
              <w:t>"</w:t>
            </w:r>
          </w:p>
        </w:tc>
        <w:tc>
          <w:tcPr>
            <w:tcW w:w="1276" w:type="dxa"/>
            <w:tcBorders>
              <w:top w:val="single" w:sz="4" w:space="0" w:color="auto"/>
              <w:left w:val="single" w:sz="4" w:space="0" w:color="auto"/>
              <w:bottom w:val="single" w:sz="4" w:space="0" w:color="auto"/>
              <w:right w:val="single" w:sz="4" w:space="0" w:color="auto"/>
            </w:tcBorders>
            <w:vAlign w:val="center"/>
          </w:tcPr>
          <w:p w:rsidR="00250FE9" w:rsidRPr="00310A44" w:rsidRDefault="00250FE9" w:rsidP="00291CEC">
            <w:pPr>
              <w:jc w:val="center"/>
              <w:rPr>
                <w:color w:val="000000"/>
              </w:rPr>
            </w:pPr>
            <w:r>
              <w:rPr>
                <w:color w:val="000000"/>
                <w:lang w:val="en-US"/>
              </w:rPr>
              <w:t>II</w:t>
            </w:r>
          </w:p>
        </w:tc>
        <w:tc>
          <w:tcPr>
            <w:tcW w:w="1417" w:type="dxa"/>
            <w:tcBorders>
              <w:top w:val="single" w:sz="4" w:space="0" w:color="auto"/>
              <w:left w:val="single" w:sz="4" w:space="0" w:color="auto"/>
              <w:bottom w:val="single" w:sz="4" w:space="0" w:color="auto"/>
              <w:right w:val="single" w:sz="4" w:space="0" w:color="auto"/>
            </w:tcBorders>
            <w:vAlign w:val="center"/>
          </w:tcPr>
          <w:p w:rsidR="00250FE9" w:rsidRPr="00310A44" w:rsidRDefault="00250FE9" w:rsidP="00291CEC">
            <w:pPr>
              <w:jc w:val="center"/>
              <w:rPr>
                <w:color w:val="000000"/>
                <w:vertAlign w:val="superscript"/>
              </w:rPr>
            </w:pPr>
            <w:r w:rsidRPr="00310A44">
              <w:t>кВт/год</w:t>
            </w:r>
          </w:p>
        </w:tc>
        <w:tc>
          <w:tcPr>
            <w:tcW w:w="1985" w:type="dxa"/>
            <w:tcBorders>
              <w:top w:val="single" w:sz="4" w:space="0" w:color="auto"/>
              <w:left w:val="single" w:sz="4" w:space="0" w:color="auto"/>
              <w:bottom w:val="single" w:sz="4" w:space="0" w:color="auto"/>
              <w:right w:val="single" w:sz="4" w:space="0" w:color="auto"/>
            </w:tcBorders>
            <w:vAlign w:val="center"/>
          </w:tcPr>
          <w:p w:rsidR="00250FE9" w:rsidRPr="00310A44" w:rsidRDefault="006E0C51" w:rsidP="007F1DF4">
            <w:pPr>
              <w:jc w:val="center"/>
              <w:rPr>
                <w:color w:val="000000"/>
              </w:rPr>
            </w:pPr>
            <w:r>
              <w:rPr>
                <w:color w:val="000000"/>
              </w:rPr>
              <w:t>2</w:t>
            </w:r>
            <w:r w:rsidR="007F1DF4">
              <w:rPr>
                <w:color w:val="000000"/>
              </w:rPr>
              <w:t>0</w:t>
            </w:r>
            <w:bookmarkStart w:id="0" w:name="_GoBack"/>
            <w:bookmarkEnd w:id="0"/>
            <w:r w:rsidR="007E7B0F">
              <w:rPr>
                <w:color w:val="000000"/>
              </w:rPr>
              <w:t>0 000</w:t>
            </w:r>
            <w:r w:rsidR="004A090A">
              <w:rPr>
                <w:color w:val="000000"/>
              </w:rPr>
              <w:t>,00</w:t>
            </w:r>
            <w:r w:rsidR="009D36B1" w:rsidRPr="009D36B1">
              <w:rPr>
                <w:color w:val="000000"/>
              </w:rPr>
              <w:t xml:space="preserve"> </w:t>
            </w:r>
          </w:p>
        </w:tc>
      </w:tr>
    </w:tbl>
    <w:p w:rsidR="00250FE9" w:rsidRDefault="00250FE9" w:rsidP="00250FE9">
      <w:pPr>
        <w:tabs>
          <w:tab w:val="left" w:pos="993"/>
          <w:tab w:val="left" w:pos="1560"/>
        </w:tabs>
        <w:ind w:right="-2"/>
        <w:rPr>
          <w:b/>
        </w:rPr>
      </w:pPr>
    </w:p>
    <w:p w:rsidR="00250FE9" w:rsidRDefault="00250FE9" w:rsidP="002D1442">
      <w:pPr>
        <w:tabs>
          <w:tab w:val="left" w:pos="993"/>
          <w:tab w:val="left" w:pos="1560"/>
        </w:tabs>
        <w:ind w:right="-2" w:firstLine="567"/>
        <w:rPr>
          <w:b/>
        </w:rPr>
      </w:pPr>
    </w:p>
    <w:p w:rsidR="00F52B4F" w:rsidRPr="00054DBC" w:rsidRDefault="00F52B4F" w:rsidP="002D1442">
      <w:pPr>
        <w:tabs>
          <w:tab w:val="left" w:pos="993"/>
          <w:tab w:val="left" w:pos="1560"/>
        </w:tabs>
        <w:ind w:right="-2" w:firstLine="567"/>
        <w:rPr>
          <w:b/>
        </w:rPr>
      </w:pPr>
      <w:r w:rsidRPr="00054DBC">
        <w:rPr>
          <w:b/>
        </w:rPr>
        <w:t>1. Особливі вимоги до предмету закупівлі.</w:t>
      </w:r>
    </w:p>
    <w:p w:rsidR="00F52B4F" w:rsidRPr="00054DBC" w:rsidRDefault="00F52B4F" w:rsidP="002D1442">
      <w:pPr>
        <w:tabs>
          <w:tab w:val="left" w:pos="993"/>
          <w:tab w:val="left" w:pos="1560"/>
        </w:tabs>
        <w:ind w:right="-2" w:firstLine="567"/>
      </w:pPr>
      <w:r w:rsidRPr="00054DBC">
        <w:t>Постачання електричної енергії споживачу регулюється чинним законодавством України:</w:t>
      </w:r>
    </w:p>
    <w:p w:rsidR="00F52B4F" w:rsidRPr="00054DBC" w:rsidRDefault="00F52B4F" w:rsidP="002D1442">
      <w:pPr>
        <w:pStyle w:val="a3"/>
        <w:numPr>
          <w:ilvl w:val="0"/>
          <w:numId w:val="3"/>
        </w:numPr>
        <w:tabs>
          <w:tab w:val="left" w:pos="993"/>
          <w:tab w:val="left" w:pos="1560"/>
        </w:tabs>
        <w:suppressAutoHyphens/>
        <w:spacing w:after="0" w:line="240" w:lineRule="auto"/>
        <w:ind w:left="142" w:right="-2" w:hanging="142"/>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F52B4F" w:rsidRPr="00054DBC" w:rsidRDefault="00F52B4F" w:rsidP="002D1442">
      <w:pPr>
        <w:pStyle w:val="a3"/>
        <w:numPr>
          <w:ilvl w:val="0"/>
          <w:numId w:val="3"/>
        </w:numPr>
        <w:tabs>
          <w:tab w:val="left" w:pos="993"/>
          <w:tab w:val="left" w:pos="1560"/>
        </w:tabs>
        <w:suppressAutoHyphens/>
        <w:spacing w:after="0" w:line="240" w:lineRule="auto"/>
        <w:ind w:left="142" w:right="-2" w:hanging="142"/>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F52B4F" w:rsidRPr="00054DBC" w:rsidRDefault="00F52B4F" w:rsidP="00182451">
      <w:pPr>
        <w:pStyle w:val="a3"/>
        <w:numPr>
          <w:ilvl w:val="0"/>
          <w:numId w:val="3"/>
        </w:numPr>
        <w:tabs>
          <w:tab w:val="left" w:pos="993"/>
          <w:tab w:val="left" w:pos="1560"/>
        </w:tabs>
        <w:suppressAutoHyphens/>
        <w:spacing w:after="0" w:line="240" w:lineRule="auto"/>
        <w:ind w:right="-2"/>
        <w:jc w:val="both"/>
        <w:rPr>
          <w:rFonts w:ascii="Times New Roman" w:hAnsi="Times New Roman"/>
          <w:sz w:val="24"/>
          <w:szCs w:val="24"/>
          <w:lang w:val="uk-UA"/>
        </w:rPr>
      </w:pPr>
      <w:r w:rsidRPr="00054DBC">
        <w:rPr>
          <w:rFonts w:ascii="Times New Roman" w:hAnsi="Times New Roman"/>
          <w:sz w:val="24"/>
          <w:szCs w:val="24"/>
          <w:lang w:val="uk-UA"/>
        </w:rPr>
        <w:t xml:space="preserve">Законом України від 13.04.2017 № 2019-VIII </w:t>
      </w:r>
      <w:r w:rsidR="00182451" w:rsidRPr="00182451">
        <w:rPr>
          <w:rFonts w:ascii="Times New Roman" w:hAnsi="Times New Roman"/>
          <w:sz w:val="24"/>
          <w:szCs w:val="24"/>
          <w:lang w:val="uk-UA"/>
        </w:rPr>
        <w:t>"</w:t>
      </w:r>
      <w:r w:rsidRPr="00054DBC">
        <w:rPr>
          <w:rFonts w:ascii="Times New Roman" w:hAnsi="Times New Roman"/>
          <w:sz w:val="24"/>
          <w:szCs w:val="24"/>
          <w:lang w:val="uk-UA"/>
        </w:rPr>
        <w:t>Про ринок електричної енергії</w:t>
      </w:r>
      <w:r w:rsidR="00182451" w:rsidRPr="00182451">
        <w:rPr>
          <w:rFonts w:ascii="Times New Roman" w:hAnsi="Times New Roman"/>
          <w:sz w:val="24"/>
          <w:szCs w:val="24"/>
          <w:lang w:val="uk-UA"/>
        </w:rPr>
        <w:t>"</w:t>
      </w:r>
      <w:r w:rsidRPr="00054DBC">
        <w:rPr>
          <w:rFonts w:ascii="Times New Roman" w:hAnsi="Times New Roman"/>
          <w:sz w:val="24"/>
          <w:szCs w:val="24"/>
          <w:lang w:val="uk-UA"/>
        </w:rPr>
        <w:t>;</w:t>
      </w:r>
    </w:p>
    <w:p w:rsidR="00F52B4F" w:rsidRDefault="00F52B4F" w:rsidP="002D1442">
      <w:pPr>
        <w:pStyle w:val="a3"/>
        <w:numPr>
          <w:ilvl w:val="0"/>
          <w:numId w:val="3"/>
        </w:numPr>
        <w:tabs>
          <w:tab w:val="left" w:pos="993"/>
          <w:tab w:val="left" w:pos="1560"/>
        </w:tabs>
        <w:suppressAutoHyphens/>
        <w:spacing w:after="0" w:line="240" w:lineRule="auto"/>
        <w:ind w:left="142" w:right="-2" w:hanging="142"/>
        <w:jc w:val="both"/>
        <w:rPr>
          <w:rFonts w:ascii="Times New Roman" w:hAnsi="Times New Roman"/>
          <w:sz w:val="24"/>
          <w:szCs w:val="24"/>
          <w:lang w:val="uk-UA"/>
        </w:rPr>
      </w:pPr>
      <w:r w:rsidRPr="00054D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A32AD2" w:rsidRPr="00A32AD2" w:rsidRDefault="00A32AD2" w:rsidP="00A32AD2">
      <w:pPr>
        <w:tabs>
          <w:tab w:val="left" w:pos="993"/>
          <w:tab w:val="left" w:pos="1560"/>
        </w:tabs>
        <w:suppressAutoHyphens/>
        <w:ind w:right="-2"/>
        <w:jc w:val="both"/>
      </w:pPr>
    </w:p>
    <w:p w:rsidR="002D1442" w:rsidRDefault="002D1442" w:rsidP="002D1442">
      <w:pPr>
        <w:tabs>
          <w:tab w:val="left" w:pos="993"/>
          <w:tab w:val="left" w:pos="1560"/>
        </w:tabs>
        <w:suppressAutoHyphens/>
        <w:ind w:right="-2"/>
        <w:jc w:val="both"/>
      </w:pPr>
    </w:p>
    <w:p w:rsidR="00A32AD2" w:rsidRPr="00054DBC" w:rsidRDefault="00A32AD2" w:rsidP="00A32AD2">
      <w:pPr>
        <w:tabs>
          <w:tab w:val="left" w:pos="993"/>
          <w:tab w:val="left" w:pos="1560"/>
        </w:tabs>
        <w:ind w:right="-2" w:firstLine="567"/>
      </w:pPr>
      <w:r w:rsidRPr="00054DBC">
        <w:rPr>
          <w:b/>
        </w:rPr>
        <w:t>2. Мета використання товару</w:t>
      </w:r>
      <w:r w:rsidRPr="00054DBC">
        <w:t>: для задоволення потреб у споживанні електричної енергії об’єктів Замовника.</w:t>
      </w:r>
    </w:p>
    <w:p w:rsidR="002E2B09" w:rsidRPr="00054DBC" w:rsidRDefault="002E2B09" w:rsidP="001F4740">
      <w:pPr>
        <w:tabs>
          <w:tab w:val="left" w:pos="993"/>
          <w:tab w:val="left" w:pos="1560"/>
        </w:tabs>
        <w:ind w:firstLine="567"/>
        <w:jc w:val="both"/>
      </w:pPr>
      <w:r w:rsidRPr="00054DBC">
        <w:rPr>
          <w:b/>
        </w:rPr>
        <w:lastRenderedPageBreak/>
        <w:t>3. Місце поставки товару:</w:t>
      </w:r>
      <w:r w:rsidRPr="00054DBC">
        <w:t xml:space="preserve"> на межі балансової належності між оператором системи розподілу та споживачем. </w:t>
      </w:r>
    </w:p>
    <w:p w:rsidR="002E2B09" w:rsidRPr="00054DBC" w:rsidRDefault="002E2B09" w:rsidP="001F4740">
      <w:pPr>
        <w:tabs>
          <w:tab w:val="left" w:pos="993"/>
          <w:tab w:val="left" w:pos="1560"/>
        </w:tabs>
        <w:ind w:firstLine="567"/>
        <w:jc w:val="both"/>
      </w:pPr>
      <w:r w:rsidRPr="00054DBC">
        <w:t>Точки розподілу електричної енергії знаходяться за адресами:</w:t>
      </w:r>
    </w:p>
    <w:p w:rsidR="00FA36F7" w:rsidRDefault="00FA36F7" w:rsidP="001F4740">
      <w:pPr>
        <w:numPr>
          <w:ilvl w:val="0"/>
          <w:numId w:val="6"/>
        </w:numPr>
        <w:tabs>
          <w:tab w:val="left" w:pos="993"/>
          <w:tab w:val="left" w:pos="1560"/>
        </w:tabs>
        <w:suppressAutoHyphens/>
        <w:spacing w:line="0" w:lineRule="atLeast"/>
        <w:jc w:val="both"/>
        <w:rPr>
          <w:iCs/>
          <w:lang w:eastAsia="uk-UA"/>
        </w:rPr>
      </w:pPr>
      <w:r w:rsidRPr="007E259E">
        <w:rPr>
          <w:iCs/>
          <w:lang w:eastAsia="uk-UA"/>
        </w:rPr>
        <w:t xml:space="preserve">Одеський апеляційний суд, нежила будівля «Будинок правосуддя», за </w:t>
      </w:r>
      <w:proofErr w:type="spellStart"/>
      <w:r w:rsidRPr="007E259E">
        <w:rPr>
          <w:iCs/>
          <w:lang w:eastAsia="uk-UA"/>
        </w:rPr>
        <w:t>адресою</w:t>
      </w:r>
      <w:proofErr w:type="spellEnd"/>
      <w:r w:rsidRPr="007E259E">
        <w:rPr>
          <w:iCs/>
          <w:lang w:eastAsia="uk-UA"/>
        </w:rPr>
        <w:t xml:space="preserve"> </w:t>
      </w:r>
      <w:proofErr w:type="spellStart"/>
      <w:r w:rsidRPr="007E259E">
        <w:rPr>
          <w:iCs/>
          <w:lang w:eastAsia="uk-UA"/>
        </w:rPr>
        <w:t>м.Одеса</w:t>
      </w:r>
      <w:proofErr w:type="spellEnd"/>
      <w:r w:rsidRPr="007E259E">
        <w:rPr>
          <w:iCs/>
          <w:lang w:eastAsia="uk-UA"/>
        </w:rPr>
        <w:t>, вул. Івана та Юрія Лип, 24-А, ЕІС-код: 62Х4990422970737</w:t>
      </w:r>
      <w:r>
        <w:rPr>
          <w:iCs/>
          <w:lang w:eastAsia="uk-UA"/>
        </w:rPr>
        <w:t>.</w:t>
      </w:r>
    </w:p>
    <w:p w:rsidR="002E2B09" w:rsidRDefault="002E2B09" w:rsidP="001F4740">
      <w:pPr>
        <w:tabs>
          <w:tab w:val="left" w:pos="993"/>
          <w:tab w:val="left" w:pos="1560"/>
        </w:tabs>
        <w:ind w:firstLine="567"/>
        <w:jc w:val="both"/>
        <w:rPr>
          <w:b/>
        </w:rPr>
      </w:pPr>
      <w:r w:rsidRPr="00054DBC">
        <w:rPr>
          <w:b/>
        </w:rPr>
        <w:t xml:space="preserve">4. </w:t>
      </w:r>
      <w:r>
        <w:rPr>
          <w:b/>
        </w:rPr>
        <w:t>Послуги з передачі та розподілу електричної енергії</w:t>
      </w:r>
      <w:r w:rsidRPr="00054DBC">
        <w:rPr>
          <w:b/>
        </w:rPr>
        <w:t>:</w:t>
      </w:r>
    </w:p>
    <w:p w:rsidR="001F4740" w:rsidRPr="003C0C29" w:rsidRDefault="001F4740" w:rsidP="001F4740">
      <w:pPr>
        <w:ind w:firstLine="709"/>
        <w:jc w:val="both"/>
        <w:rPr>
          <w:iCs/>
          <w:shd w:val="clear" w:color="auto" w:fill="FFFFFF"/>
          <w:lang w:bidi="uk-UA"/>
        </w:rPr>
      </w:pPr>
      <w:r w:rsidRPr="003C0C29">
        <w:t>Бюджетні зобов’язання за договором виникають у разі наявності та в межах відповідних бюджетних асигнувань.</w:t>
      </w:r>
    </w:p>
    <w:p w:rsidR="001F4740" w:rsidRDefault="001F4740" w:rsidP="001F4740">
      <w:pPr>
        <w:ind w:firstLine="709"/>
        <w:jc w:val="both"/>
        <w:rPr>
          <w:shd w:val="clear" w:color="auto" w:fill="FDFEFD"/>
        </w:rPr>
      </w:pPr>
      <w:r w:rsidRPr="00BC7412">
        <w:rPr>
          <w:iCs/>
          <w:shd w:val="clear" w:color="auto" w:fill="FFFFFF"/>
          <w:lang w:bidi="uk-UA"/>
        </w:rPr>
        <w:t xml:space="preserve">Оплата електричної енергії Замовником буде здійснюватися у національній валюті України у формі 100 % післяплати. </w:t>
      </w:r>
      <w:r w:rsidRPr="00BC7412">
        <w:rPr>
          <w:shd w:val="clear" w:color="auto" w:fill="FDFEFD"/>
        </w:rPr>
        <w:t xml:space="preserve">Розрахунковим періодом є календарний місяць. Оплата за фактично спожиту електричну енергію буде здійснюватися Замовником за фактичними показами засобів обліку електричної енергії по закінченню розрахункового періоду. Оплата вартості електричної енергії буде здійснюватися Замовником шляхом перерахування коштів на поточний розрахунковий рахунок із спеціальним режимом використання Постачальника в уповноваженому банку. Замовник буде здійснювати оплату вартості обсягу електричної енергії за розрахунковий період протягом 7 банківських днів з моменту отримання рахунку на оплату та Акту прийому-передачі електричної енергії, підписаного обома Сторонами. </w:t>
      </w:r>
    </w:p>
    <w:p w:rsidR="001F4740" w:rsidRDefault="001F4740" w:rsidP="001F4740">
      <w:pPr>
        <w:ind w:firstLine="709"/>
        <w:jc w:val="both"/>
      </w:pPr>
      <w:r w:rsidRPr="00BC7412">
        <w:t xml:space="preserve">Передбачається </w:t>
      </w:r>
      <w:r w:rsidRPr="0043382C">
        <w:t>можливість коригування договірних величин споживання електричної енергії.</w:t>
      </w:r>
    </w:p>
    <w:p w:rsidR="001F4740" w:rsidRDefault="001F4740" w:rsidP="001F4740">
      <w:pPr>
        <w:ind w:firstLine="709"/>
        <w:jc w:val="both"/>
        <w:rPr>
          <w:iCs/>
          <w:color w:val="000000"/>
          <w:u w:val="single"/>
          <w:shd w:val="clear" w:color="auto" w:fill="FFFFFF"/>
          <w:lang w:eastAsia="uk-UA" w:bidi="uk-UA"/>
        </w:rPr>
      </w:pPr>
      <w:r w:rsidRPr="00BC7412">
        <w:rPr>
          <w:iCs/>
          <w:color w:val="000000"/>
          <w:u w:val="single"/>
          <w:shd w:val="clear" w:color="auto" w:fill="FFFFFF"/>
          <w:lang w:eastAsia="uk-UA" w:bidi="uk-UA"/>
        </w:rPr>
        <w:t xml:space="preserve">Приймання – передача електричної енергії, поставленої Постачальником та прийнятої Замовником у звітному місяці, оформлюється шляхом підписання уповноваженими особами Сторін щомісячних </w:t>
      </w:r>
      <w:r w:rsidRPr="00BC7412">
        <w:rPr>
          <w:i/>
          <w:iCs/>
          <w:color w:val="000000"/>
          <w:u w:val="single"/>
          <w:shd w:val="clear" w:color="auto" w:fill="FFFFFF"/>
          <w:lang w:eastAsia="uk-UA" w:bidi="uk-UA"/>
        </w:rPr>
        <w:t>актів приймання-передачі електричної енергії</w:t>
      </w:r>
      <w:r w:rsidRPr="00BC7412">
        <w:rPr>
          <w:iCs/>
          <w:color w:val="000000"/>
          <w:u w:val="single"/>
          <w:shd w:val="clear" w:color="auto" w:fill="FFFFFF"/>
          <w:lang w:eastAsia="uk-UA" w:bidi="uk-UA"/>
        </w:rPr>
        <w:t>.</w:t>
      </w:r>
    </w:p>
    <w:p w:rsidR="001F4740" w:rsidRDefault="001F4740" w:rsidP="001F4740">
      <w:pPr>
        <w:ind w:firstLine="709"/>
        <w:jc w:val="both"/>
        <w:rPr>
          <w:b/>
          <w:u w:val="single"/>
        </w:rPr>
      </w:pPr>
    </w:p>
    <w:p w:rsidR="001F4740" w:rsidRDefault="001F4740" w:rsidP="001F4740">
      <w:pPr>
        <w:ind w:firstLine="709"/>
        <w:jc w:val="both"/>
        <w:rPr>
          <w:b/>
          <w:iCs/>
          <w:color w:val="000000"/>
          <w:u w:val="single"/>
          <w:shd w:val="clear" w:color="auto" w:fill="FFFFFF"/>
          <w:lang w:eastAsia="uk-UA" w:bidi="uk-UA"/>
        </w:rPr>
      </w:pPr>
      <w:r w:rsidRPr="00BC7412">
        <w:rPr>
          <w:b/>
          <w:u w:val="single"/>
        </w:rPr>
        <w:t xml:space="preserve">Послуги з розподілу електричної енергії сплачуються Замовником самостійно безпосередньо  </w:t>
      </w:r>
      <w:r w:rsidRPr="00BC7412">
        <w:rPr>
          <w:b/>
          <w:iCs/>
          <w:color w:val="000000"/>
          <w:u w:val="single"/>
          <w:shd w:val="clear" w:color="auto" w:fill="FFFFFF"/>
          <w:lang w:eastAsia="uk-UA" w:bidi="uk-UA"/>
        </w:rPr>
        <w:t>оператору системи розподілу відповідно до договору про надання послуг з розподілу, укладеним між оператором системи розподілу та Замовником.</w:t>
      </w:r>
    </w:p>
    <w:p w:rsidR="001F4740" w:rsidRDefault="001F4740" w:rsidP="001F4740">
      <w:pPr>
        <w:ind w:firstLine="709"/>
        <w:jc w:val="both"/>
        <w:rPr>
          <w:b/>
          <w:color w:val="000000"/>
        </w:rPr>
      </w:pPr>
    </w:p>
    <w:p w:rsidR="001F4740" w:rsidRDefault="001F4740" w:rsidP="001F4740">
      <w:pPr>
        <w:ind w:firstLine="709"/>
        <w:jc w:val="both"/>
        <w:rPr>
          <w:b/>
          <w:bCs/>
          <w:color w:val="000000"/>
        </w:rPr>
      </w:pPr>
      <w:r w:rsidRPr="00BC7412">
        <w:rPr>
          <w:b/>
          <w:color w:val="000000"/>
        </w:rPr>
        <w:t xml:space="preserve">До ціни пропозиції учасник зобов’язаний включити витрати на </w:t>
      </w:r>
      <w:r w:rsidRPr="00BC7412">
        <w:rPr>
          <w:b/>
          <w:bCs/>
          <w:color w:val="000000"/>
        </w:rPr>
        <w:t>послуги з передачі електричної енергії за регульованим тарифом.</w:t>
      </w:r>
    </w:p>
    <w:p w:rsidR="002E2B09" w:rsidRDefault="002E2B09" w:rsidP="002E2B09">
      <w:pPr>
        <w:pStyle w:val="a3"/>
        <w:tabs>
          <w:tab w:val="left" w:pos="1276"/>
        </w:tabs>
        <w:spacing w:after="0" w:line="240" w:lineRule="auto"/>
        <w:ind w:left="0" w:firstLine="426"/>
        <w:jc w:val="both"/>
        <w:rPr>
          <w:rFonts w:ascii="Times New Roman" w:hAnsi="Times New Roman"/>
          <w:sz w:val="24"/>
          <w:szCs w:val="24"/>
          <w:u w:val="single"/>
          <w:lang w:val="uk-UA"/>
        </w:rPr>
      </w:pPr>
      <w:r w:rsidRPr="005D5D5C">
        <w:rPr>
          <w:rFonts w:ascii="Times New Roman" w:hAnsi="Times New Roman"/>
          <w:sz w:val="24"/>
          <w:szCs w:val="24"/>
          <w:lang w:val="uk-UA"/>
        </w:rPr>
        <w:t>З учасником - переможцем закупівлі буде укладено договір, розроблений на підставі примірного договору про постачання електричної енергії споживачу відповідно до п. 1.2.7. Правил роздрібного ринку електричної енергії, затверджених Пост</w:t>
      </w:r>
      <w:r>
        <w:rPr>
          <w:rFonts w:ascii="Times New Roman" w:hAnsi="Times New Roman"/>
          <w:sz w:val="24"/>
          <w:szCs w:val="24"/>
          <w:lang w:val="uk-UA"/>
        </w:rPr>
        <w:t xml:space="preserve">ановою НКРЕКП від 14.03.2018  </w:t>
      </w:r>
      <w:r w:rsidRPr="005D5D5C">
        <w:rPr>
          <w:rFonts w:ascii="Times New Roman" w:hAnsi="Times New Roman"/>
          <w:sz w:val="24"/>
          <w:szCs w:val="24"/>
          <w:lang w:val="uk-UA"/>
        </w:rPr>
        <w:t xml:space="preserve">№ 312, з урахуванням вимог </w:t>
      </w:r>
      <w:r w:rsidR="00BA3900">
        <w:rPr>
          <w:rFonts w:ascii="Times New Roman" w:hAnsi="Times New Roman"/>
          <w:sz w:val="24"/>
          <w:szCs w:val="24"/>
          <w:lang w:val="uk-UA"/>
        </w:rPr>
        <w:t>чинного</w:t>
      </w:r>
      <w:r w:rsidRPr="005D5D5C">
        <w:rPr>
          <w:rFonts w:ascii="Times New Roman" w:hAnsi="Times New Roman"/>
          <w:sz w:val="24"/>
          <w:szCs w:val="24"/>
          <w:lang w:val="uk-UA"/>
        </w:rPr>
        <w:t xml:space="preserve"> законодавства України, за яким такий учасник продає електричну енергію Споживачу </w:t>
      </w:r>
      <w:r w:rsidRPr="005D5D5C">
        <w:rPr>
          <w:rFonts w:ascii="Times New Roman" w:hAnsi="Times New Roman"/>
          <w:sz w:val="24"/>
          <w:szCs w:val="24"/>
          <w:u w:val="single"/>
          <w:lang w:val="uk-UA"/>
        </w:rPr>
        <w:t>на умовах оплати за фактичним споживанням.</w:t>
      </w:r>
    </w:p>
    <w:p w:rsidR="00A32AD2" w:rsidRDefault="002E2B09" w:rsidP="002E2B09">
      <w:pPr>
        <w:pStyle w:val="a3"/>
        <w:tabs>
          <w:tab w:val="left" w:pos="1276"/>
        </w:tabs>
        <w:spacing w:after="0" w:line="240" w:lineRule="auto"/>
        <w:ind w:left="0" w:firstLine="426"/>
        <w:jc w:val="both"/>
        <w:rPr>
          <w:rFonts w:ascii="Times New Roman" w:hAnsi="Times New Roman"/>
          <w:sz w:val="24"/>
          <w:szCs w:val="24"/>
          <w:lang w:val="uk-UA"/>
        </w:rPr>
      </w:pPr>
      <w:r w:rsidRPr="005D5D5C">
        <w:rPr>
          <w:rFonts w:ascii="Times New Roman" w:hAnsi="Times New Roman"/>
          <w:sz w:val="24"/>
          <w:szCs w:val="24"/>
          <w:lang w:val="uk-UA"/>
        </w:rPr>
        <w:t>Відповідно до Закону України "Про публічні закупівлі", істотні умови Договору, в тому числі вартість за одиницю електричної енергії, не повинні змінюватися після його підписання до повного виконання зобов'язань Сторонами, крім випадків зазначених у</w:t>
      </w:r>
      <w:r w:rsidR="004A090A">
        <w:rPr>
          <w:rFonts w:ascii="Times New Roman" w:hAnsi="Times New Roman"/>
          <w:sz w:val="24"/>
          <w:szCs w:val="24"/>
          <w:lang w:val="uk-UA"/>
        </w:rPr>
        <w:t xml:space="preserve"> </w:t>
      </w:r>
      <w:r w:rsidR="004A090A" w:rsidRPr="00516969">
        <w:rPr>
          <w:rFonts w:ascii="Times New Roman" w:hAnsi="Times New Roman"/>
          <w:sz w:val="24"/>
          <w:szCs w:val="24"/>
          <w:lang w:val="uk-UA"/>
        </w:rPr>
        <w:t>пункті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6969">
        <w:rPr>
          <w:rFonts w:ascii="Times New Roman" w:hAnsi="Times New Roman"/>
          <w:sz w:val="24"/>
          <w:szCs w:val="24"/>
          <w:lang w:val="uk-UA"/>
        </w:rPr>
        <w:t>.</w:t>
      </w:r>
      <w:r w:rsidRPr="005D5D5C">
        <w:rPr>
          <w:rFonts w:ascii="Times New Roman" w:hAnsi="Times New Roman"/>
          <w:sz w:val="24"/>
          <w:szCs w:val="24"/>
          <w:lang w:val="uk-UA"/>
        </w:rPr>
        <w:t xml:space="preserve"> </w:t>
      </w:r>
    </w:p>
    <w:p w:rsidR="002E2B09" w:rsidRPr="002E2B09" w:rsidRDefault="002E2B09" w:rsidP="002E2B09">
      <w:pPr>
        <w:pStyle w:val="a3"/>
        <w:tabs>
          <w:tab w:val="left" w:pos="1276"/>
        </w:tabs>
        <w:spacing w:after="0" w:line="240" w:lineRule="auto"/>
        <w:ind w:left="0" w:firstLine="426"/>
        <w:jc w:val="both"/>
        <w:rPr>
          <w:rFonts w:ascii="Times New Roman" w:hAnsi="Times New Roman"/>
          <w:sz w:val="24"/>
          <w:szCs w:val="24"/>
          <w:lang w:val="uk-UA"/>
        </w:rPr>
      </w:pPr>
    </w:p>
    <w:p w:rsidR="00A32AD2" w:rsidRPr="00310A44" w:rsidRDefault="004A78CA" w:rsidP="004A78CA">
      <w:pPr>
        <w:ind w:firstLine="709"/>
        <w:jc w:val="both"/>
        <w:rPr>
          <w:b/>
        </w:rPr>
      </w:pPr>
      <w:r>
        <w:rPr>
          <w:b/>
        </w:rPr>
        <w:t>5</w:t>
      </w:r>
      <w:r w:rsidR="00A32AD2" w:rsidRPr="00310A44">
        <w:rPr>
          <w:b/>
        </w:rPr>
        <w:t xml:space="preserve">. Вимоги щодо якості електричної енергії. </w:t>
      </w:r>
    </w:p>
    <w:p w:rsidR="00A32AD2" w:rsidRPr="00310A44" w:rsidRDefault="00A32AD2" w:rsidP="004A78CA">
      <w:pPr>
        <w:ind w:firstLine="567"/>
        <w:jc w:val="both"/>
        <w:rPr>
          <w:rStyle w:val="rvts0"/>
        </w:rPr>
      </w:pPr>
      <w:r w:rsidRPr="00310A44">
        <w:rPr>
          <w:rStyle w:val="rvts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Pr>
          <w:rStyle w:val="rvts0"/>
        </w:rPr>
        <w:t>.</w:t>
      </w:r>
      <w:r w:rsidRPr="00310A44">
        <w:rPr>
          <w:rStyle w:val="rvts0"/>
        </w:rPr>
        <w:t>Характеристики напруги електропостачання в електричних мережах загального призначення (EN 50160:2010, IDT).</w:t>
      </w:r>
    </w:p>
    <w:p w:rsidR="002D1442" w:rsidRPr="004A78CA" w:rsidRDefault="00A32AD2" w:rsidP="004A78CA">
      <w:pPr>
        <w:ind w:firstLine="709"/>
        <w:jc w:val="both"/>
      </w:pPr>
      <w:r w:rsidRPr="00717486">
        <w:t xml:space="preserve">Оцінка відповідності показників </w:t>
      </w:r>
      <w:r w:rsidRPr="00717486">
        <w:rPr>
          <w:rStyle w:val="rvts0"/>
        </w:rPr>
        <w:t>якості електричної енергії</w:t>
      </w:r>
      <w:r w:rsidRPr="00717486">
        <w:t xml:space="preserve"> проводиться на проміжку розрахункового періоду, рівного 24 годинам.</w:t>
      </w:r>
    </w:p>
    <w:p w:rsidR="00F52B4F" w:rsidRPr="00310A44" w:rsidRDefault="00F52B4F" w:rsidP="002D1442">
      <w:pPr>
        <w:tabs>
          <w:tab w:val="left" w:pos="993"/>
          <w:tab w:val="left" w:pos="1560"/>
        </w:tabs>
        <w:ind w:firstLine="567"/>
      </w:pPr>
    </w:p>
    <w:p w:rsidR="004A090A" w:rsidRDefault="004A090A" w:rsidP="002D1442">
      <w:pPr>
        <w:shd w:val="clear" w:color="auto" w:fill="FFFFFF"/>
        <w:ind w:firstLine="567"/>
        <w:rPr>
          <w:b/>
        </w:rPr>
      </w:pPr>
    </w:p>
    <w:p w:rsidR="00F62734" w:rsidRPr="009975CA" w:rsidRDefault="00F62734" w:rsidP="00F62734">
      <w:pPr>
        <w:ind w:firstLine="709"/>
        <w:jc w:val="both"/>
      </w:pPr>
      <w:r w:rsidRPr="0043382C">
        <w:t>Постачальник зобов’язується дотримуватись якості наданн</w:t>
      </w:r>
      <w:r>
        <w:t xml:space="preserve">я послуг </w:t>
      </w:r>
      <w:proofErr w:type="spellStart"/>
      <w:r>
        <w:t>електропостачальника</w:t>
      </w:r>
      <w:proofErr w:type="spellEnd"/>
      <w:r>
        <w:t xml:space="preserve"> згідно</w:t>
      </w:r>
      <w:r w:rsidRPr="0043382C">
        <w:t xml:space="preserve">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62734" w:rsidRPr="003F71AF" w:rsidRDefault="00F62734" w:rsidP="00F62734">
      <w:pPr>
        <w:jc w:val="both"/>
        <w:rPr>
          <w:rFonts w:eastAsia="Calibri"/>
          <w:b/>
          <w:bCs/>
          <w:i/>
          <w:color w:val="000000"/>
          <w:u w:val="single"/>
          <w:lang w:eastAsia="en-US"/>
        </w:rPr>
      </w:pPr>
    </w:p>
    <w:p w:rsidR="00F62734" w:rsidRPr="003F71AF" w:rsidRDefault="00F62734" w:rsidP="00F62734">
      <w:pPr>
        <w:ind w:firstLine="567"/>
        <w:jc w:val="both"/>
        <w:rPr>
          <w:spacing w:val="-2"/>
          <w:lang w:eastAsia="en-US"/>
        </w:rPr>
      </w:pPr>
      <w:r w:rsidRPr="003F71AF">
        <w:rPr>
          <w:spacing w:val="-2"/>
        </w:rPr>
        <w:t xml:space="preserve">Інформація про учасника повинна міститись в переліку (ліцензійному реєстрі </w:t>
      </w:r>
      <w:r w:rsidRPr="003F71AF">
        <w:t>Національної комісії регулювання електроенергетики та комунальних послуг України (далі -  НКРЕКП</w:t>
      </w:r>
      <w:r w:rsidRPr="003F71AF">
        <w:rPr>
          <w:spacing w:val="-2"/>
        </w:rPr>
        <w:t>)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F62734" w:rsidRPr="003F71AF" w:rsidRDefault="00F62734" w:rsidP="00F62734">
      <w:pPr>
        <w:tabs>
          <w:tab w:val="left" w:pos="567"/>
        </w:tabs>
        <w:ind w:firstLine="567"/>
        <w:jc w:val="both"/>
        <w:rPr>
          <w:b/>
          <w:i/>
        </w:rPr>
      </w:pPr>
      <w:r w:rsidRPr="003F71AF">
        <w:rPr>
          <w:b/>
          <w:bCs/>
          <w:i/>
          <w:color w:val="000000"/>
        </w:rPr>
        <w:t xml:space="preserve">Замовник </w:t>
      </w:r>
      <w:r>
        <w:rPr>
          <w:b/>
          <w:bCs/>
          <w:i/>
          <w:color w:val="000000"/>
        </w:rPr>
        <w:t xml:space="preserve">додатково </w:t>
      </w:r>
      <w:r w:rsidRPr="003F71AF">
        <w:rPr>
          <w:b/>
          <w:bCs/>
          <w:i/>
          <w:color w:val="000000"/>
        </w:rPr>
        <w:t>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13.04.2017 № 2019-</w:t>
      </w:r>
      <w:r w:rsidRPr="003F71AF">
        <w:rPr>
          <w:b/>
          <w:bCs/>
          <w:i/>
          <w:color w:val="000000"/>
          <w:lang w:val="en-US"/>
        </w:rPr>
        <w:t>VIII</w:t>
      </w:r>
      <w:r w:rsidRPr="003F71AF">
        <w:rPr>
          <w:b/>
          <w:bCs/>
          <w:i/>
          <w:color w:val="000000"/>
        </w:rPr>
        <w:t xml:space="preserve"> «Про ринок електричної енергії» на офіційному сайті Національної комісії, що здійснює державне регулювання у сферах енергетики та комунальних послуг за посиланням: </w:t>
      </w:r>
      <w:hyperlink r:id="rId5" w:history="1">
        <w:r w:rsidRPr="003F71AF">
          <w:rPr>
            <w:rStyle w:val="a5"/>
            <w:b/>
            <w:bCs/>
            <w:i/>
          </w:rPr>
          <w:t>http://www.nerc.gov.ua/?id=16087</w:t>
        </w:r>
      </w:hyperlink>
      <w:r w:rsidRPr="003F71AF">
        <w:rPr>
          <w:b/>
          <w:bCs/>
          <w:i/>
          <w:color w:val="000000"/>
        </w:rPr>
        <w:t xml:space="preserve">. </w:t>
      </w:r>
    </w:p>
    <w:p w:rsidR="00F62734" w:rsidRDefault="00F62734" w:rsidP="00F62734">
      <w:pPr>
        <w:jc w:val="both"/>
        <w:rPr>
          <w:rFonts w:eastAsia="Calibri"/>
          <w:b/>
          <w:bCs/>
          <w:i/>
          <w:color w:val="000000"/>
          <w:u w:val="single"/>
          <w:lang w:eastAsia="en-US"/>
        </w:rPr>
      </w:pPr>
    </w:p>
    <w:p w:rsidR="00F62734" w:rsidRDefault="00F62734" w:rsidP="00F62734">
      <w:pPr>
        <w:jc w:val="both"/>
      </w:pPr>
    </w:p>
    <w:p w:rsidR="00F62734" w:rsidRPr="00041838" w:rsidRDefault="00F62734" w:rsidP="00F62734">
      <w:pPr>
        <w:jc w:val="both"/>
        <w:rPr>
          <w:b/>
          <w:sz w:val="28"/>
          <w:szCs w:val="28"/>
        </w:rPr>
      </w:pPr>
      <w:r w:rsidRPr="00041838">
        <w:rPr>
          <w:b/>
          <w:sz w:val="28"/>
          <w:szCs w:val="28"/>
        </w:rPr>
        <w:t>До уваги Учасників!</w:t>
      </w:r>
    </w:p>
    <w:p w:rsidR="00F62734" w:rsidRDefault="00F62734" w:rsidP="00F62734">
      <w:pPr>
        <w:ind w:firstLine="708"/>
        <w:jc w:val="both"/>
      </w:pPr>
    </w:p>
    <w:p w:rsidR="00F62734" w:rsidRDefault="00F62734" w:rsidP="00F62734">
      <w:pPr>
        <w:ind w:firstLine="708"/>
        <w:jc w:val="both"/>
        <w:rPr>
          <w:bCs/>
        </w:rPr>
      </w:pPr>
      <w:r w:rsidRPr="0043382C">
        <w:t>Підтвердження відповідності пропозиції</w:t>
      </w:r>
      <w:r>
        <w:t xml:space="preserve"> Учасника необхідним технічним вимогам до предмету закупівлі </w:t>
      </w:r>
      <w:r>
        <w:rPr>
          <w:bCs/>
        </w:rPr>
        <w:t>надається у</w:t>
      </w:r>
      <w:r w:rsidRPr="00224702">
        <w:rPr>
          <w:bCs/>
        </w:rPr>
        <w:t xml:space="preserve"> вигляді листа-гарантії</w:t>
      </w:r>
      <w:r w:rsidRPr="0043382C">
        <w:t xml:space="preserve"> наступного змісту: </w:t>
      </w:r>
      <w:r w:rsidRPr="00184C92">
        <w:rPr>
          <w:bCs/>
        </w:rPr>
        <w:t xml:space="preserve">«Ми, </w:t>
      </w:r>
      <w:r w:rsidRPr="00184C92">
        <w:rPr>
          <w:bCs/>
          <w:u w:val="single"/>
        </w:rPr>
        <w:t>зазначити найменування Учасника</w:t>
      </w:r>
      <w:r w:rsidRPr="00184C92">
        <w:rPr>
          <w:b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w:t>
      </w:r>
      <w:r>
        <w:rPr>
          <w:bCs/>
        </w:rPr>
        <w:t xml:space="preserve">й документації, у </w:t>
      </w:r>
      <w:proofErr w:type="spellStart"/>
      <w:r>
        <w:rPr>
          <w:bCs/>
        </w:rPr>
        <w:t>т.ч</w:t>
      </w:r>
      <w:proofErr w:type="spellEnd"/>
      <w:r>
        <w:rPr>
          <w:bCs/>
        </w:rPr>
        <w:t>. Додатку 2</w:t>
      </w:r>
      <w:r w:rsidRPr="00184C92">
        <w:rPr>
          <w:bCs/>
        </w:rPr>
        <w:t xml:space="preserve"> тендерної документації, а також підтверджуємо можливість </w:t>
      </w:r>
      <w:r>
        <w:rPr>
          <w:bCs/>
        </w:rPr>
        <w:t>поставки товару</w:t>
      </w:r>
      <w:r w:rsidRPr="00184C92">
        <w:rPr>
          <w:bCs/>
        </w:rPr>
        <w:t>, у відповідності до вимог, визначених згідно з умовами тендерної документації ».</w:t>
      </w:r>
    </w:p>
    <w:p w:rsidR="00F62734" w:rsidRDefault="00F62734" w:rsidP="00F62734">
      <w:pPr>
        <w:ind w:firstLine="708"/>
        <w:rPr>
          <w:bCs/>
        </w:rPr>
      </w:pPr>
    </w:p>
    <w:tbl>
      <w:tblPr>
        <w:tblW w:w="10107" w:type="dxa"/>
        <w:tblLayout w:type="fixed"/>
        <w:tblLook w:val="0400" w:firstRow="0" w:lastRow="0" w:firstColumn="0" w:lastColumn="0" w:noHBand="0" w:noVBand="1"/>
      </w:tblPr>
      <w:tblGrid>
        <w:gridCol w:w="3272"/>
        <w:gridCol w:w="3271"/>
        <w:gridCol w:w="3564"/>
      </w:tblGrid>
      <w:tr w:rsidR="00F62734" w:rsidRPr="0043382C" w:rsidTr="00B063A4">
        <w:trPr>
          <w:trHeight w:val="587"/>
        </w:trPr>
        <w:tc>
          <w:tcPr>
            <w:tcW w:w="3272" w:type="dxa"/>
          </w:tcPr>
          <w:p w:rsidR="00F62734" w:rsidRPr="0043382C" w:rsidRDefault="00F62734" w:rsidP="00B063A4">
            <w:pPr>
              <w:pStyle w:val="1"/>
              <w:jc w:val="center"/>
              <w:rPr>
                <w:rFonts w:ascii="Times New Roman" w:hAnsi="Times New Roman" w:cs="Times New Roman"/>
                <w:lang w:val="uk-UA"/>
              </w:rPr>
            </w:pPr>
            <w:r w:rsidRPr="0043382C">
              <w:rPr>
                <w:rFonts w:ascii="Times New Roman" w:hAnsi="Times New Roman" w:cs="Times New Roman"/>
                <w:lang w:val="uk-UA"/>
              </w:rPr>
              <w:t>________________________</w:t>
            </w:r>
          </w:p>
          <w:p w:rsidR="00F62734" w:rsidRPr="0043382C" w:rsidRDefault="00F62734" w:rsidP="00B063A4">
            <w:pPr>
              <w:pStyle w:val="1"/>
              <w:jc w:val="center"/>
              <w:rPr>
                <w:rFonts w:ascii="Times New Roman" w:hAnsi="Times New Roman" w:cs="Times New Roman"/>
                <w:lang w:val="uk-UA"/>
              </w:rPr>
            </w:pPr>
            <w:r w:rsidRPr="0043382C">
              <w:rPr>
                <w:rFonts w:ascii="Times New Roman" w:hAnsi="Times New Roman" w:cs="Times New Roman"/>
                <w:i/>
                <w:vertAlign w:val="superscript"/>
                <w:lang w:val="uk-UA"/>
              </w:rPr>
              <w:t>посада уповноваженої особи Учасника</w:t>
            </w:r>
          </w:p>
        </w:tc>
        <w:tc>
          <w:tcPr>
            <w:tcW w:w="3271" w:type="dxa"/>
          </w:tcPr>
          <w:p w:rsidR="00F62734" w:rsidRPr="0043382C" w:rsidRDefault="00F62734" w:rsidP="00B063A4">
            <w:pPr>
              <w:pStyle w:val="1"/>
              <w:jc w:val="center"/>
              <w:rPr>
                <w:rFonts w:ascii="Times New Roman" w:hAnsi="Times New Roman" w:cs="Times New Roman"/>
                <w:lang w:val="uk-UA"/>
              </w:rPr>
            </w:pPr>
            <w:r w:rsidRPr="0043382C">
              <w:rPr>
                <w:rFonts w:ascii="Times New Roman" w:hAnsi="Times New Roman" w:cs="Times New Roman"/>
                <w:lang w:val="uk-UA"/>
              </w:rPr>
              <w:t>________________________</w:t>
            </w:r>
          </w:p>
          <w:p w:rsidR="00F62734" w:rsidRPr="0043382C" w:rsidRDefault="00F62734" w:rsidP="00B063A4">
            <w:pPr>
              <w:pStyle w:val="1"/>
              <w:jc w:val="center"/>
              <w:rPr>
                <w:rFonts w:ascii="Times New Roman" w:hAnsi="Times New Roman" w:cs="Times New Roman"/>
                <w:lang w:val="uk-UA"/>
              </w:rPr>
            </w:pPr>
            <w:r w:rsidRPr="0043382C">
              <w:rPr>
                <w:rFonts w:ascii="Times New Roman" w:hAnsi="Times New Roman" w:cs="Times New Roman"/>
                <w:i/>
                <w:vertAlign w:val="superscript"/>
                <w:lang w:val="uk-UA"/>
              </w:rPr>
              <w:t>підпис та печатка (за наявності)</w:t>
            </w:r>
          </w:p>
        </w:tc>
        <w:tc>
          <w:tcPr>
            <w:tcW w:w="3564" w:type="dxa"/>
          </w:tcPr>
          <w:p w:rsidR="00F62734" w:rsidRPr="0043382C" w:rsidRDefault="00F62734" w:rsidP="00B063A4">
            <w:pPr>
              <w:pStyle w:val="1"/>
              <w:jc w:val="center"/>
              <w:rPr>
                <w:rFonts w:ascii="Times New Roman" w:hAnsi="Times New Roman" w:cs="Times New Roman"/>
                <w:lang w:val="uk-UA"/>
              </w:rPr>
            </w:pPr>
            <w:r w:rsidRPr="0043382C">
              <w:rPr>
                <w:rFonts w:ascii="Times New Roman" w:hAnsi="Times New Roman" w:cs="Times New Roman"/>
                <w:lang w:val="uk-UA"/>
              </w:rPr>
              <w:t>________________________</w:t>
            </w:r>
          </w:p>
          <w:p w:rsidR="00F62734" w:rsidRPr="0043382C" w:rsidRDefault="00F62734" w:rsidP="00B063A4">
            <w:pPr>
              <w:pStyle w:val="1"/>
              <w:jc w:val="center"/>
              <w:rPr>
                <w:rFonts w:ascii="Times New Roman" w:hAnsi="Times New Roman" w:cs="Times New Roman"/>
                <w:lang w:val="uk-UA"/>
              </w:rPr>
            </w:pPr>
            <w:r w:rsidRPr="0043382C">
              <w:rPr>
                <w:rFonts w:ascii="Times New Roman" w:hAnsi="Times New Roman" w:cs="Times New Roman"/>
                <w:i/>
                <w:vertAlign w:val="superscript"/>
                <w:lang w:val="uk-UA"/>
              </w:rPr>
              <w:t>прізвище, ініціали</w:t>
            </w:r>
          </w:p>
        </w:tc>
      </w:tr>
    </w:tbl>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2D1442" w:rsidRDefault="002D1442" w:rsidP="002D1442">
      <w:pPr>
        <w:shd w:val="clear" w:color="auto" w:fill="FFFFFF"/>
        <w:tabs>
          <w:tab w:val="left" w:pos="993"/>
        </w:tabs>
        <w:jc w:val="both"/>
        <w:rPr>
          <w:color w:val="121212"/>
        </w:rPr>
      </w:pPr>
    </w:p>
    <w:p w:rsidR="007332B5" w:rsidRPr="00A21F6B" w:rsidRDefault="007332B5" w:rsidP="002D1442">
      <w:pPr>
        <w:rPr>
          <w:lang w:val="ru-RU"/>
        </w:rPr>
      </w:pPr>
    </w:p>
    <w:sectPr w:rsidR="007332B5" w:rsidRPr="00A21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533CC"/>
    <w:multiLevelType w:val="hybridMultilevel"/>
    <w:tmpl w:val="DD3015D4"/>
    <w:lvl w:ilvl="0" w:tplc="3E06D05C">
      <w:start w:val="1"/>
      <w:numFmt w:val="decimal"/>
      <w:lvlText w:val="%1)"/>
      <w:lvlJc w:val="left"/>
      <w:pPr>
        <w:ind w:left="927" w:hanging="360"/>
      </w:pPr>
      <w:rPr>
        <w:rFonts w:ascii="Times New Roman CYR" w:eastAsia="Courier New" w:hAnsi="Times New Roman CYR" w:cs="Times New Roman CYR"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3" w15:restartNumberingAfterBreak="0">
    <w:nsid w:val="1E0B4002"/>
    <w:multiLevelType w:val="hybridMultilevel"/>
    <w:tmpl w:val="306630A4"/>
    <w:lvl w:ilvl="0" w:tplc="C806280A">
      <w:numFmt w:val="bullet"/>
      <w:lvlText w:val="-"/>
      <w:lvlJc w:val="left"/>
      <w:pPr>
        <w:ind w:left="720" w:hanging="360"/>
      </w:pPr>
      <w:rPr>
        <w:rFonts w:ascii="Times New Roman" w:eastAsia="Times New Roman" w:hAnsi="Times New Roman" w:cs="Times New Roman" w:hint="default"/>
        <w:color w:val="000000"/>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6C2686"/>
    <w:multiLevelType w:val="hybridMultilevel"/>
    <w:tmpl w:val="02A4ABB6"/>
    <w:lvl w:ilvl="0" w:tplc="C806280A">
      <w:numFmt w:val="bullet"/>
      <w:lvlText w:val="-"/>
      <w:lvlJc w:val="left"/>
      <w:pPr>
        <w:ind w:left="720" w:hanging="360"/>
      </w:pPr>
      <w:rPr>
        <w:rFonts w:ascii="Times New Roman" w:eastAsia="Times New Roman" w:hAnsi="Times New Roman" w:cs="Times New Roman" w:hint="default"/>
        <w:color w:val="000000"/>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14"/>
    <w:rsid w:val="00011F41"/>
    <w:rsid w:val="00074AF1"/>
    <w:rsid w:val="00107AA1"/>
    <w:rsid w:val="00182451"/>
    <w:rsid w:val="001F4740"/>
    <w:rsid w:val="00227619"/>
    <w:rsid w:val="002449DF"/>
    <w:rsid w:val="002456CD"/>
    <w:rsid w:val="00250FE9"/>
    <w:rsid w:val="002D1442"/>
    <w:rsid w:val="002E2B09"/>
    <w:rsid w:val="003A52BE"/>
    <w:rsid w:val="00435AB5"/>
    <w:rsid w:val="004A090A"/>
    <w:rsid w:val="004A78CA"/>
    <w:rsid w:val="00516969"/>
    <w:rsid w:val="00533D6E"/>
    <w:rsid w:val="00571223"/>
    <w:rsid w:val="005D5D5C"/>
    <w:rsid w:val="00611D9E"/>
    <w:rsid w:val="006D2119"/>
    <w:rsid w:val="006E0C51"/>
    <w:rsid w:val="007332B5"/>
    <w:rsid w:val="007C4E29"/>
    <w:rsid w:val="007E7B0F"/>
    <w:rsid w:val="007F1DF4"/>
    <w:rsid w:val="008671FF"/>
    <w:rsid w:val="008D4B8C"/>
    <w:rsid w:val="008F6B5D"/>
    <w:rsid w:val="009760E8"/>
    <w:rsid w:val="00990873"/>
    <w:rsid w:val="009D36B1"/>
    <w:rsid w:val="00A21F6B"/>
    <w:rsid w:val="00A32AD2"/>
    <w:rsid w:val="00A45EF8"/>
    <w:rsid w:val="00A87850"/>
    <w:rsid w:val="00AD32C1"/>
    <w:rsid w:val="00AE6623"/>
    <w:rsid w:val="00B36FF6"/>
    <w:rsid w:val="00BA3900"/>
    <w:rsid w:val="00BF56B8"/>
    <w:rsid w:val="00CA6AD3"/>
    <w:rsid w:val="00D418FA"/>
    <w:rsid w:val="00D623B8"/>
    <w:rsid w:val="00DA21BE"/>
    <w:rsid w:val="00DE1370"/>
    <w:rsid w:val="00E10AEB"/>
    <w:rsid w:val="00E13D14"/>
    <w:rsid w:val="00E278B7"/>
    <w:rsid w:val="00E66BDA"/>
    <w:rsid w:val="00E74D35"/>
    <w:rsid w:val="00F52B4F"/>
    <w:rsid w:val="00F62734"/>
    <w:rsid w:val="00FA36F7"/>
    <w:rsid w:val="00FB40DB"/>
    <w:rsid w:val="00FF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FD920-006B-4C46-89CE-699C4277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0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Elenco Normale,название табл/рис,Chapter10"/>
    <w:basedOn w:val="a"/>
    <w:link w:val="a4"/>
    <w:uiPriority w:val="34"/>
    <w:qFormat/>
    <w:rsid w:val="009760E8"/>
    <w:pPr>
      <w:spacing w:after="200" w:line="276" w:lineRule="auto"/>
      <w:ind w:left="720"/>
      <w:contextualSpacing/>
    </w:pPr>
    <w:rPr>
      <w:rFonts w:ascii="Calibri" w:eastAsia="Calibri" w:hAnsi="Calibri"/>
      <w:sz w:val="22"/>
      <w:szCs w:val="22"/>
      <w:lang w:val="ru-RU" w:eastAsia="en-US"/>
    </w:rPr>
  </w:style>
  <w:style w:type="character" w:customStyle="1" w:styleId="a4">
    <w:name w:val="Абзац списка Знак"/>
    <w:aliases w:val="Список уровня 2 Знак,Elenco Normale Знак,название табл/рис Знак,Chapter10 Знак"/>
    <w:link w:val="a3"/>
    <w:uiPriority w:val="34"/>
    <w:locked/>
    <w:rsid w:val="00F52B4F"/>
    <w:rPr>
      <w:rFonts w:ascii="Calibri" w:eastAsia="Calibri" w:hAnsi="Calibri" w:cs="Times New Roman"/>
    </w:rPr>
  </w:style>
  <w:style w:type="character" w:customStyle="1" w:styleId="rvts0">
    <w:name w:val="rvts0"/>
    <w:basedOn w:val="a0"/>
    <w:rsid w:val="00F52B4F"/>
  </w:style>
  <w:style w:type="character" w:styleId="a5">
    <w:name w:val="Hyperlink"/>
    <w:uiPriority w:val="99"/>
    <w:unhideWhenUsed/>
    <w:rsid w:val="00F62734"/>
    <w:rPr>
      <w:color w:val="0563C1"/>
      <w:u w:val="single"/>
    </w:rPr>
  </w:style>
  <w:style w:type="paragraph" w:customStyle="1" w:styleId="1">
    <w:name w:val="Звичайний1"/>
    <w:rsid w:val="00F62734"/>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7783">
      <w:bodyDiv w:val="1"/>
      <w:marLeft w:val="0"/>
      <w:marRight w:val="0"/>
      <w:marTop w:val="0"/>
      <w:marBottom w:val="0"/>
      <w:divBdr>
        <w:top w:val="none" w:sz="0" w:space="0" w:color="auto"/>
        <w:left w:val="none" w:sz="0" w:space="0" w:color="auto"/>
        <w:bottom w:val="none" w:sz="0" w:space="0" w:color="auto"/>
        <w:right w:val="none" w:sz="0" w:space="0" w:color="auto"/>
      </w:divBdr>
    </w:div>
    <w:div w:id="4680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rc.gov.ua/?id=160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5026</Words>
  <Characters>2865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shpylova</dc:creator>
  <cp:keywords/>
  <dc:description/>
  <cp:lastModifiedBy>Бернатович Наталія Ігорівна</cp:lastModifiedBy>
  <cp:revision>18</cp:revision>
  <dcterms:created xsi:type="dcterms:W3CDTF">2022-11-21T13:17:00Z</dcterms:created>
  <dcterms:modified xsi:type="dcterms:W3CDTF">2023-12-11T08:33:00Z</dcterms:modified>
</cp:coreProperties>
</file>