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E3E" w:rsidRDefault="00311E3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11E3E" w:rsidRDefault="00C82F8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311E3E" w:rsidRDefault="00C82F8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тендерноїдокументації</w:t>
      </w:r>
      <w:proofErr w:type="spellEnd"/>
    </w:p>
    <w:p w:rsidR="00311E3E" w:rsidRDefault="00C82F8B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311E3E" w:rsidRDefault="00C82F8B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  для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кваліфікаційнимкритеріям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16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”:</w:t>
      </w:r>
    </w:p>
    <w:p w:rsidR="00311E3E" w:rsidRDefault="00311E3E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p w:rsidR="00311E3E" w:rsidRDefault="00C82F8B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  <w:t>Замовниквибирає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  <w:t xml:space="preserve"> один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  <w:t>абодекількакваліфікаційнихкритеріївзалежновідспецифіки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  <w:t>.</w:t>
      </w:r>
    </w:p>
    <w:tbl>
      <w:tblPr>
        <w:tblStyle w:val="a8"/>
        <w:tblW w:w="9619" w:type="dxa"/>
        <w:jc w:val="center"/>
        <w:tblInd w:w="0" w:type="dxa"/>
        <w:tblLayout w:type="fixed"/>
        <w:tblLook w:val="0400"/>
      </w:tblPr>
      <w:tblGrid>
        <w:gridCol w:w="490"/>
        <w:gridCol w:w="2273"/>
        <w:gridCol w:w="6856"/>
      </w:tblGrid>
      <w:tr w:rsidR="00311E3E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1E3E" w:rsidRDefault="00C82F8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1E3E" w:rsidRDefault="00C82F8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Кваліфікаційнікритерії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1E3E" w:rsidRDefault="00C82F8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інформація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 якіпідтверджуютьвідповідністьУчасникакваліфікаційнимкритеріям**</w:t>
            </w:r>
          </w:p>
        </w:tc>
      </w:tr>
      <w:tr w:rsidR="00311E3E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E3E" w:rsidRPr="00C82F8B" w:rsidRDefault="00C8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E3E" w:rsidRDefault="00C8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документально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підтвердженогодосвідувиконанняаналогічного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E3E" w:rsidRDefault="00C82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підтвердженнядосвідувиконанняаналогічного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Учасникмаєнадати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311E3E" w:rsidRDefault="00C82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r w:rsidR="00FC4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оговору (</w:t>
            </w:r>
            <w:proofErr w:type="spellStart"/>
            <w:r w:rsidR="00FC4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 w:rsidR="00FC4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  (</w:t>
            </w:r>
            <w:r w:rsidR="00FC4E73" w:rsidRPr="00FC4E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не </w:t>
            </w:r>
            <w:proofErr w:type="spellStart"/>
            <w:r w:rsidR="00FC4E73" w:rsidRPr="00FC4E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менше</w:t>
            </w:r>
            <w:proofErr w:type="spellEnd"/>
            <w:r w:rsidR="00830B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="00FC4E73" w:rsidRPr="00FC4E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двох</w:t>
            </w:r>
            <w:r w:rsidR="00830B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FC4E73" w:rsidRPr="00FC4E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договорів</w:t>
            </w:r>
            <w:proofErr w:type="spellEnd"/>
            <w:r w:rsidRPr="00FC4E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).</w:t>
            </w:r>
          </w:p>
          <w:p w:rsidR="00311E3E" w:rsidRPr="00C82F8B" w:rsidRDefault="00C82F8B" w:rsidP="00C8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2F8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Аналогічнимвважаєтьсядоговір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на поставку товару згідно </w:t>
            </w:r>
            <w:r w:rsidR="00CE474A" w:rsidRPr="00CE4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ДК 021:2015: 09110000 - 3 </w:t>
            </w:r>
            <w:proofErr w:type="spellStart"/>
            <w:r w:rsidR="00CE474A" w:rsidRPr="00CE4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Твердепаливо</w:t>
            </w:r>
            <w:proofErr w:type="spellEnd"/>
            <w:r w:rsidR="00CE474A" w:rsidRPr="00CE4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B53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Паливні  брикети  з  лушпиння  соняшника</w:t>
            </w:r>
            <w:r w:rsidR="00CE474A" w:rsidRPr="00CE4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311E3E" w:rsidRDefault="00C82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3.1.2. </w:t>
            </w:r>
            <w:r w:rsidRPr="00FC4E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не менше</w:t>
            </w:r>
            <w:r w:rsidR="00FC4E73" w:rsidRPr="00FC4E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FC4E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копі</w:t>
            </w:r>
            <w:r w:rsidR="00FC4E73" w:rsidRPr="00FC4E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й</w:t>
            </w:r>
            <w:proofErr w:type="spellStart"/>
            <w:r w:rsidR="00FC4E73" w:rsidRPr="00FC4E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договорів</w:t>
            </w:r>
            <w:r w:rsidRPr="00FC4E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довідці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повномуобсязі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11E3E" w:rsidRDefault="00C82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меншеніж</w:t>
            </w:r>
            <w:proofErr w:type="spellEnd"/>
            <w:r w:rsidR="00FC4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двох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</w:t>
            </w:r>
            <w:proofErr w:type="spellStart"/>
            <w:r w:rsidR="00FC4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</w:t>
            </w:r>
            <w:r w:rsidR="00FC4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наданійУчасникомдовідці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. </w:t>
            </w:r>
          </w:p>
          <w:p w:rsidR="00311E3E" w:rsidRDefault="00311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:rsidR="00311E3E" w:rsidRDefault="00C82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Аналогічнийдоговірможенадаватися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 xml:space="preserve"> без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додатків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специфікацій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додатковихугод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 xml:space="preserve"> договору,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якізазначені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ньому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невід’ємнічастини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  договору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Ї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вважатись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невідповідністютендерноїпропозиції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.</w:t>
            </w:r>
          </w:p>
          <w:p w:rsidR="00311E3E" w:rsidRDefault="00C82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документиможутьнадаватися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часткововиконаний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догові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діяякого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закінчена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:rsidR="00311E3E" w:rsidRDefault="00C82F8B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разіучастіоб’єднанняучасниківпідтвердженнявідповідностікваліфікаційнимкритеріямздійснюється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урахуваннямузагальненихоб’єднанихпоказників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такого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підставінаданоїоб’єднаннямінформації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</w:t>
      </w:r>
    </w:p>
    <w:p w:rsidR="00C82F8B" w:rsidRDefault="00C82F8B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yellow"/>
        </w:rPr>
      </w:pPr>
    </w:p>
    <w:p w:rsidR="00311E3E" w:rsidRDefault="00C82F8B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17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”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– Закон)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вимогОсобливостей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:rsidR="00311E3E" w:rsidRDefault="00C82F8B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Учасникпроцедуризакупівліпідтверджуєвідсутністьпідстав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визначенихстаттею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17 Закону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пункту 13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частинипершоїстатті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17 Закону),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самостійногодекларуваннявідсутності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електроннійсистемізакупівельпід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поданнятендерноїпропозиції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11E3E" w:rsidRDefault="00C82F8B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вимагаєвідучасникапроцедуризакупі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поданнятендерноїпропозиції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електроннійсистемізакупівель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будь-якихдокументів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щопідтверджуютьвідсутністьпідстав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визначенихстаттею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17 Закону,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крімсамостійногодекларуваннявідсутності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підставучасникомпроцедуризакупівлівідповідно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до абзацу четвертого пункту 44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11E3E" w:rsidRDefault="00C82F8B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  для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17 Закону 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”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вимогОсобливостей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</w:p>
    <w:p w:rsidR="00311E3E" w:rsidRDefault="00C82F8B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Замовникзобов’язанийвідхилититендернупропозиціюпереможцяпроцедуризакупівлі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разі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коли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наявніпідстави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визначеністаттею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17 Закону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13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частинипершоїстатті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17 Закону).</w:t>
      </w:r>
    </w:p>
    <w:p w:rsidR="00311E3E" w:rsidRDefault="00C82F8B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Переможецьпроцедуризакупівлі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у строк,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перевищуєчотиридні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з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датиоприлюднення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електроннійсистемізакупівельповідомлення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намірукластидоговір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закупівлю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, повинен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надатизамовнику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електроннійсистемізакупівельдокументи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щопідтверджуютьвідсутністьпідстав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визначених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пунктами 3, 5, 6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12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частинипершої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частиною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другою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17 Закону. </w:t>
      </w:r>
    </w:p>
    <w:p w:rsidR="00311E3E" w:rsidRDefault="00C82F8B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cya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highlight w:val="cyan"/>
        </w:rPr>
        <w:t xml:space="preserve">Першим днем строку,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cyan"/>
        </w:rPr>
        <w:t>передбаченогоцією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cyan"/>
        </w:rPr>
        <w:t xml:space="preserve"> тендерною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cyan"/>
        </w:rPr>
        <w:t>документацією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cyan"/>
        </w:rPr>
        <w:t xml:space="preserve"> та/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cyan"/>
        </w:rPr>
        <w:t>або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cyan"/>
        </w:rPr>
        <w:t xml:space="preserve"> Законом та/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cyan"/>
        </w:rPr>
        <w:t>абоОсобливостями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cy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cyan"/>
        </w:rPr>
        <w:t>перебігякоговизначається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cy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cyan"/>
        </w:rPr>
        <w:t>з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cy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cyan"/>
        </w:rPr>
        <w:t>датипевноїподії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cy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cyan"/>
        </w:rPr>
        <w:t>вважатиметьсянаступний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cyan"/>
        </w:rPr>
        <w:t xml:space="preserve"> за днем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cyan"/>
        </w:rPr>
        <w:t>відповідноїподіїкалендарнийаборобочий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cyan"/>
        </w:rPr>
        <w:t xml:space="preserve"> день,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cyan"/>
        </w:rPr>
        <w:t>залежновід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cyan"/>
        </w:rPr>
        <w:t xml:space="preserve"> того, у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cyan"/>
        </w:rPr>
        <w:t>яких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cyan"/>
        </w:rPr>
        <w:t xml:space="preserve"> днях (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cyan"/>
        </w:rPr>
        <w:t>календарнихчиробочих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cy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cyan"/>
        </w:rPr>
        <w:t>обраховуєтьсявідповідний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cyan"/>
        </w:rPr>
        <w:t xml:space="preserve"> строк.</w:t>
      </w:r>
    </w:p>
    <w:p w:rsidR="00311E3E" w:rsidRDefault="00311E3E">
      <w:pPr>
        <w:widowControl w:val="0"/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cyan"/>
        </w:rPr>
      </w:pPr>
    </w:p>
    <w:p w:rsidR="00311E3E" w:rsidRDefault="00311E3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:rsidR="00311E3E" w:rsidRDefault="00C82F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юридичноюособою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a"/>
        <w:tblW w:w="9618" w:type="dxa"/>
        <w:tblInd w:w="-100" w:type="dxa"/>
        <w:tblLayout w:type="fixed"/>
        <w:tblLook w:val="0400"/>
      </w:tblPr>
      <w:tblGrid>
        <w:gridCol w:w="765"/>
        <w:gridCol w:w="4350"/>
        <w:gridCol w:w="4503"/>
      </w:tblGrid>
      <w:tr w:rsidR="00311E3E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E3E" w:rsidRDefault="00C82F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№</w:t>
            </w:r>
          </w:p>
          <w:p w:rsidR="00311E3E" w:rsidRDefault="00C82F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E3E" w:rsidRDefault="00C82F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</w:t>
            </w:r>
          </w:p>
          <w:p w:rsidR="00311E3E" w:rsidRDefault="00311E3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E3E" w:rsidRDefault="00C82F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виконаннявимогистатті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підтвердженнявідсутностіпідстав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надатитакуінформацію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311E3E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E3E" w:rsidRDefault="00C82F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E3E" w:rsidRDefault="00C82F8B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посадову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особу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учасникапроцедуризакупівлі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уповноваженоучасникомпредставлятийогоінтересипід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проведенняпроцедуризакупівлі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булопритягнутозгідноіз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вчиненнякорупційногоправопорушенняабоправопорушення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корупцією</w:t>
            </w:r>
            <w:proofErr w:type="spellEnd"/>
          </w:p>
          <w:p w:rsidR="00311E3E" w:rsidRDefault="00C82F8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(пункт 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E3E" w:rsidRDefault="00C82F8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Інформаційнадовідка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корупційніабопов’язані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знайденоінформації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корупційніабопов'язані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корупцієюправопорушенн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яслужбової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посадової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особи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учасникапроцедуризакупівлі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Довідканадається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періодвідсутностіфункціональноїможливостіперевіркиінформації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вебресурсіЄдиного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корупційніабопов’язані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яка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стосуєтьсязапитувача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311E3E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E3E" w:rsidRDefault="00C82F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E3E" w:rsidRDefault="00C82F8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посадова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) особа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учасникапроцедуризакупівлі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підписалатендернупропозицію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булазасуджена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кримінальнеправопорушення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корисливихмотивів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відмиваннямкоштів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знятоабо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не погашено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законом порядку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 (пункт 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E3E" w:rsidRDefault="00C82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паперовійабоелектроннійформі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щоміститьінформацію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відсутністьсудимостіабообмежень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 передбаченихкримінальнимпроцесуальнимзаконодавствомУкраїн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ищодослужбової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посадової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особи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учасникапроцедуризакупівлі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підписалатендернупропозицію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окумент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повинен бути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більшетридцятиденноїдавнинивіддатиподання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документа. </w:t>
            </w:r>
          </w:p>
        </w:tc>
      </w:tr>
      <w:tr w:rsidR="00311E3E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E3E" w:rsidRDefault="00C82F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E3E" w:rsidRDefault="00C82F8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посадову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) особу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учасникапроцедуризакупівлі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яку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уповноваженоучасникомпредставлятийогоінтересипід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проведенняпроцедуризакупівлі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булопритягнутозгідноіз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вчиненняправопорушення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використаннямдитячоїпрацічи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будь-якими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людьми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(пункт 12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E3E" w:rsidRDefault="0031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1E3E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E3E" w:rsidRDefault="00C82F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E3E" w:rsidRDefault="00C82F8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Учасникпроцедуризакупівлі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виконавсвоїзобов’язання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ранішеукладениміззамовником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щопризвело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йогодостроковогорозірвання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булозастосованосанкції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абовідшкодуваннязбитків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протягомтрьохроків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датидостроковогорозірвання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договору</w:t>
            </w:r>
          </w:p>
          <w:p w:rsidR="00311E3E" w:rsidRDefault="00C82F8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E3E" w:rsidRDefault="00C82F8B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довільнійформі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щоміжпереможцем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булоукладенодоговорів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щопереможецьпроцедуризакупівлівиконавсвоїзобов’язання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ранішеукладениміззамовником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щопризвели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йогодостроковогорозірвання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застосуваннясанкції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абовідшкодуваннязбитків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щовіннадавпідтвердженнявжиттязаходів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доведеннясвоєїнадійності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наявністьвідповідноїпідстави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процедурізакупівлі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311E3E" w:rsidRDefault="00C82F8B" w:rsidP="00CE17E8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чифізичною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b"/>
        <w:tblW w:w="9619" w:type="dxa"/>
        <w:tblInd w:w="-100" w:type="dxa"/>
        <w:tblLayout w:type="fixed"/>
        <w:tblLook w:val="0400"/>
      </w:tblPr>
      <w:tblGrid>
        <w:gridCol w:w="587"/>
        <w:gridCol w:w="4427"/>
        <w:gridCol w:w="4605"/>
      </w:tblGrid>
      <w:tr w:rsidR="00311E3E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E3E" w:rsidRDefault="00C82F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№</w:t>
            </w:r>
          </w:p>
          <w:p w:rsidR="00311E3E" w:rsidRDefault="00C82F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E3E" w:rsidRDefault="00C82F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</w:t>
            </w:r>
          </w:p>
          <w:p w:rsidR="00311E3E" w:rsidRDefault="00311E3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E3E" w:rsidRDefault="00C82F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виконаннявимогистатті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підтвердженнявідсутностіпідстав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надатитакуінформацію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311E3E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E3E" w:rsidRDefault="00C82F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E3E" w:rsidRDefault="00C82F8B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посадову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особу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учасникапроцедуризакупівлі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уповноваженоучасникомпредставлятийогоінтересипід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проведенняпроцедуризакупівлі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булопритягнутозгідноіз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вчиненнякорупційногоправопорушенняабоправопорушення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корупцією</w:t>
            </w:r>
            <w:proofErr w:type="spellEnd"/>
          </w:p>
          <w:p w:rsidR="00311E3E" w:rsidRDefault="00C82F8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(пункт 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E3E" w:rsidRDefault="00C82F8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Інформаційнадовідка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корупційніабопов’язані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знайденоінформації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корупційніабопов'язані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корупцієюправопорушенняфізичної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учасникомпроцедуризакупівлі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Довідканадається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періодвідсутностіфункціональноїможливостіперевіркиінформації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вебресурсіЄдиного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корупційніабопов’язані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яка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стосуєтьсязапитувача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311E3E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E3E" w:rsidRDefault="00C82F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E3E" w:rsidRDefault="00C82F8B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особа,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учасникомпроцедуризакупівлі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булазасуджена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кримінальнеправопорушення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корисливихмотивів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відмиваннямкоштів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знятоабо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погашено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порядку</w:t>
            </w:r>
          </w:p>
          <w:p w:rsidR="00311E3E" w:rsidRDefault="00C82F8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 (пункт 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E3E" w:rsidRDefault="00C82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іквідомостей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паперовійабоелектроннійформі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щоміститьінформацію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відсутністьсудимостіабообмежень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передбаченихкримінальнимпроцесуальнимзаконодавствомУкраїнищодофізичної особи, яка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учасникомпроцедуризакупівлі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повинен бути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більшетридцятиденноїдавнинивіддатиподання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документа. </w:t>
            </w:r>
          </w:p>
        </w:tc>
      </w:tr>
      <w:tr w:rsidR="00311E3E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E3E" w:rsidRDefault="00C82F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E3E" w:rsidRDefault="00C82F8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булопритягнутозгідноіз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вчиненняправопорушення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використаннямдитячоїпрацічи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будь-якими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людьми</w:t>
            </w:r>
          </w:p>
          <w:p w:rsidR="00311E3E" w:rsidRDefault="00C82F8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(пункт 12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E3E" w:rsidRDefault="0031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1E3E">
        <w:trPr>
          <w:trHeight w:val="86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E3E" w:rsidRDefault="00C82F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E3E" w:rsidRDefault="00C82F8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Учасникпроцедуризакупівлі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виконавсвоїзобов’язання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ранішеукладениміззамовником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щопризвело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йогодостроковогорозірвання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булозастосованосанкції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абовідшкодуваннязбитків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протягомтрьохроків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датидостроковогорозірвання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договору</w:t>
            </w:r>
          </w:p>
          <w:p w:rsidR="00311E3E" w:rsidRDefault="00C82F8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E3E" w:rsidRDefault="00C82F8B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довільнійформі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щоміжпереможцем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булоукладенодоговорів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щопереможецьпроцедуризакупівлівиконавсвоїзобов’язання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ранішеукладениміззамовником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щопризвели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йогодостроковогорозірвання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застосуваннясанкції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абовідшкодуваннязбитків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щовіннадавпідтвердженнявжиттязаходів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доведеннясвоєїнадійності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наявністьвідповідноїпідстави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процедурізакупівлі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311E3E" w:rsidRDefault="00C82F8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перевіряєпереможцяпроцедуризакупівлі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відповідністьпідставі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визначеної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пунктом 13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частинипершоїстатті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17 Закону, та не вимагаєвідучасникапроцедуризакупівлі/переможцяпроцедуризакупівліпідтвердженняїївідсутності. </w:t>
      </w:r>
    </w:p>
    <w:p w:rsidR="00311E3E" w:rsidRDefault="00C82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311E3E" w:rsidRDefault="00C82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Іншаінформаціявстановленавідповідно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юридичнихосіб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фізичнихосіб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).</w:t>
      </w:r>
    </w:p>
    <w:tbl>
      <w:tblPr>
        <w:tblStyle w:val="ac"/>
        <w:tblW w:w="9619" w:type="dxa"/>
        <w:tblInd w:w="-100" w:type="dxa"/>
        <w:tblLayout w:type="fixed"/>
        <w:tblLook w:val="0400"/>
      </w:tblPr>
      <w:tblGrid>
        <w:gridCol w:w="400"/>
        <w:gridCol w:w="9219"/>
      </w:tblGrid>
      <w:tr w:rsidR="00311E3E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E3E" w:rsidRDefault="00C82F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ІншідокументивідУчасника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311E3E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E3E" w:rsidRDefault="00C82F8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E3E" w:rsidRDefault="00C82F8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Якщотендернапропозиціяподається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керівникомучасника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реєстріюридичнихосіб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громадськихформувань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учасникнадаєдовіреністьабодоручення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особу.</w:t>
            </w:r>
          </w:p>
        </w:tc>
      </w:tr>
      <w:tr w:rsidR="00311E3E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E3E" w:rsidRDefault="00C82F8B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E3E" w:rsidRDefault="00C82F8B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виглядідовідкидовільноїформи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якійзазначитидані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наявністьчинноїліцензіїабо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господарськоїдіяльності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якщоотриманнядозволуаболіцензії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Замістьдовідкидовільноїформиучасникможенадатичиннуліцензіюабо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характеру.</w:t>
            </w:r>
          </w:p>
        </w:tc>
      </w:tr>
    </w:tbl>
    <w:p w:rsidR="00311E3E" w:rsidRDefault="00311E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11E3E" w:rsidRDefault="00311E3E" w:rsidP="00C82F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B9BD5"/>
          <w:sz w:val="16"/>
          <w:szCs w:val="16"/>
        </w:rPr>
      </w:pPr>
    </w:p>
    <w:p w:rsidR="00311E3E" w:rsidRDefault="00311E3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11E3E" w:rsidRDefault="00311E3E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311E3E" w:rsidSect="00F1244E">
      <w:pgSz w:w="11906" w:h="16838"/>
      <w:pgMar w:top="426" w:right="850" w:bottom="709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D6CD2"/>
    <w:multiLevelType w:val="multilevel"/>
    <w:tmpl w:val="18A48A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311E3E"/>
    <w:rsid w:val="00311E3E"/>
    <w:rsid w:val="00830BEA"/>
    <w:rsid w:val="00B53532"/>
    <w:rsid w:val="00C579F8"/>
    <w:rsid w:val="00C82F8B"/>
    <w:rsid w:val="00CE17E8"/>
    <w:rsid w:val="00CE474A"/>
    <w:rsid w:val="00EF3073"/>
    <w:rsid w:val="00F1244E"/>
    <w:rsid w:val="00FC4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73"/>
  </w:style>
  <w:style w:type="paragraph" w:styleId="1">
    <w:name w:val="heading 1"/>
    <w:basedOn w:val="a"/>
    <w:next w:val="a"/>
    <w:uiPriority w:val="9"/>
    <w:qFormat/>
    <w:rsid w:val="00EF307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EF307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EF307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EF307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EF307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EF307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F307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EF307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rsid w:val="00EF307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EF307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rsid w:val="00EF307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rsid w:val="00EF307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rsid w:val="00EF307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rsid w:val="00EF307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rsid w:val="00EF307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rsid w:val="00EF307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FC4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C4E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FC4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C4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RCnBnaeyuPAuMXC5XyLMhmRdj1g==">AMUW2mUmf+bVWslqht3Ko+Cd9IBSAfSaXmLa6hjxEwQMgWKxv/F6rFoqGhswNiHX0qX7t6mDeyN1OjsjEV2SJx8aWZRsavEQ4N6VKLms8WQNRIsKF9dktwJo+QSVLF0+26COfCGPnKANp2FlZsDzStXFhqQfGw4kndf8Kt5Y76XP7i89L8dG6QD8z0yXWWDs/0HbIgdyw8kMmYnkoY+HaiY9tHwma7fthg==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Admin</cp:lastModifiedBy>
  <cp:revision>5</cp:revision>
  <cp:lastPrinted>2023-02-24T14:41:00Z</cp:lastPrinted>
  <dcterms:created xsi:type="dcterms:W3CDTF">2023-02-24T14:42:00Z</dcterms:created>
  <dcterms:modified xsi:type="dcterms:W3CDTF">2023-02-25T09:03:00Z</dcterms:modified>
</cp:coreProperties>
</file>