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04BD" w14:textId="77777777" w:rsidR="007F6331" w:rsidRPr="00020152" w:rsidRDefault="007F6331" w:rsidP="007F6331">
      <w:pPr>
        <w:tabs>
          <w:tab w:val="right" w:pos="9639"/>
        </w:tabs>
        <w:jc w:val="center"/>
        <w:rPr>
          <w:rFonts w:ascii="Times New Roman" w:hAnsi="Times New Roman"/>
          <w:b/>
          <w:bCs/>
          <w:szCs w:val="24"/>
          <w:lang w:val="uk-UA"/>
        </w:rPr>
      </w:pPr>
      <w:r w:rsidRPr="00020152">
        <w:rPr>
          <w:rFonts w:ascii="Times New Roman" w:hAnsi="Times New Roman"/>
          <w:b/>
          <w:bCs/>
          <w:szCs w:val="24"/>
          <w:lang w:val="uk-UA"/>
        </w:rPr>
        <w:t>Зміни до тендерної документації</w:t>
      </w:r>
    </w:p>
    <w:p w14:paraId="42680EA9" w14:textId="5A87D669" w:rsidR="007F6331" w:rsidRDefault="007F6331" w:rsidP="00130BC1">
      <w:pPr>
        <w:jc w:val="center"/>
        <w:rPr>
          <w:rFonts w:ascii="Times New Roman" w:eastAsia="Calibri" w:hAnsi="Times New Roman"/>
          <w:szCs w:val="24"/>
          <w:lang w:val="uk-UA"/>
        </w:rPr>
      </w:pPr>
      <w:r w:rsidRPr="00020152">
        <w:rPr>
          <w:rFonts w:ascii="Times New Roman" w:hAnsi="Times New Roman"/>
          <w:szCs w:val="24"/>
          <w:lang w:val="uk-UA"/>
        </w:rPr>
        <w:t xml:space="preserve">на закупівлю </w:t>
      </w:r>
      <w:r w:rsidR="00130BC1" w:rsidRPr="00130BC1">
        <w:rPr>
          <w:rFonts w:ascii="Times New Roman" w:hAnsi="Times New Roman"/>
          <w:b/>
          <w:spacing w:val="-3"/>
          <w:szCs w:val="24"/>
          <w:lang w:val="uk-UA"/>
        </w:rPr>
        <w:t>Встановлення автоматичних розсувних дверей (Код ДК 021:2015:45420000-7 Столярні та теслярні роботи)</w:t>
      </w:r>
      <w:r>
        <w:rPr>
          <w:rFonts w:ascii="Times New Roman" w:eastAsia="Calibri" w:hAnsi="Times New Roman"/>
          <w:szCs w:val="24"/>
          <w:lang w:val="uk-UA"/>
        </w:rPr>
        <w:tab/>
      </w:r>
    </w:p>
    <w:p w14:paraId="2D073273" w14:textId="77777777" w:rsidR="007F6331" w:rsidRPr="00B45C40" w:rsidRDefault="007F6331" w:rsidP="007F6331">
      <w:pPr>
        <w:tabs>
          <w:tab w:val="left" w:pos="5028"/>
        </w:tabs>
        <w:rPr>
          <w:rFonts w:ascii="Times New Roman" w:eastAsia="Calibri" w:hAnsi="Times New Roman"/>
          <w:szCs w:val="24"/>
          <w:lang w:val="uk-UA"/>
        </w:rPr>
      </w:pPr>
    </w:p>
    <w:p w14:paraId="08274371" w14:textId="77777777" w:rsidR="007F6331" w:rsidRPr="00020152" w:rsidRDefault="007F6331" w:rsidP="007F6331">
      <w:pPr>
        <w:pStyle w:val="rvps2"/>
        <w:shd w:val="clear" w:color="auto" w:fill="FFFFFF"/>
        <w:ind w:firstLine="450"/>
        <w:jc w:val="both"/>
        <w:rPr>
          <w:color w:val="000000"/>
          <w:lang w:val="uk-UA"/>
        </w:rPr>
      </w:pPr>
      <w:r w:rsidRPr="00020152">
        <w:rPr>
          <w:rFonts w:eastAsia="Batang"/>
          <w:color w:val="000000"/>
          <w:lang w:val="uk-UA"/>
        </w:rPr>
        <w:tab/>
        <w:t>Уповноваженою особою було прийнято рішення про внесення змін до тендерної документації відповідно до п. 5</w:t>
      </w:r>
      <w:r>
        <w:rPr>
          <w:rFonts w:eastAsia="Batang"/>
          <w:color w:val="000000"/>
          <w:lang w:val="uk-UA"/>
        </w:rPr>
        <w:t>4</w:t>
      </w:r>
      <w:r w:rsidRPr="00020152">
        <w:rPr>
          <w:rFonts w:eastAsia="Batang"/>
          <w:color w:val="000000"/>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Pr="00020152">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552FB79" w14:textId="77777777" w:rsidR="007F6331" w:rsidRPr="00020152" w:rsidRDefault="007F6331" w:rsidP="007F6331">
      <w:pPr>
        <w:pStyle w:val="rvps2"/>
        <w:shd w:val="clear" w:color="auto" w:fill="FFFFFF"/>
        <w:spacing w:before="0" w:beforeAutospacing="0" w:after="0" w:afterAutospacing="0"/>
        <w:ind w:firstLine="450"/>
        <w:jc w:val="both"/>
        <w:rPr>
          <w:color w:val="000000"/>
          <w:lang w:val="uk-UA"/>
        </w:rPr>
      </w:pPr>
      <w:r w:rsidRPr="00020152">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B863E5A" w14:textId="77777777" w:rsidR="007F6331" w:rsidRPr="00CA5508" w:rsidRDefault="007F6331" w:rsidP="007F6331">
      <w:pPr>
        <w:pStyle w:val="rvps2"/>
        <w:shd w:val="clear" w:color="auto" w:fill="FFFFFF"/>
        <w:spacing w:before="0" w:beforeAutospacing="0" w:after="0" w:afterAutospacing="0"/>
        <w:ind w:firstLine="450"/>
        <w:jc w:val="both"/>
        <w:rPr>
          <w:color w:val="000000"/>
          <w:lang w:val="uk-UA" w:eastAsia="uk-UA"/>
        </w:rPr>
      </w:pPr>
      <w:r w:rsidRPr="00020152">
        <w:rPr>
          <w:color w:val="000000"/>
          <w:lang w:val="uk-UA" w:eastAsia="uk-UA"/>
        </w:rPr>
        <w:t>Уповноваженою особою прийнято рішення внести зміни до тендерної документації:</w:t>
      </w:r>
    </w:p>
    <w:p w14:paraId="2812E407" w14:textId="77777777" w:rsidR="007F6331" w:rsidRDefault="007F6331" w:rsidP="007F6331">
      <w:pPr>
        <w:rPr>
          <w:rFonts w:ascii="Times New Roman" w:hAnsi="Times New Roman"/>
          <w:b/>
          <w:bCs/>
          <w:szCs w:val="24"/>
          <w:lang w:val="uk-UA"/>
        </w:rPr>
      </w:pPr>
    </w:p>
    <w:p w14:paraId="4AF5C8DA" w14:textId="3F91BF8C" w:rsidR="007F6331" w:rsidRPr="007F6331" w:rsidRDefault="007F6331">
      <w:pPr>
        <w:rPr>
          <w:lang w:val="uk-UA"/>
        </w:rPr>
      </w:pPr>
      <w:r>
        <w:rPr>
          <w:lang w:val="uk-UA"/>
        </w:rPr>
        <w:t>1.  Викласти п.1 розділу 4 тендерної документації в новій редакції</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96C7F" w14:paraId="5C2D7250" w14:textId="77777777" w:rsidTr="00F61DA6">
        <w:trPr>
          <w:trHeight w:val="1119"/>
          <w:jc w:val="center"/>
        </w:trPr>
        <w:tc>
          <w:tcPr>
            <w:tcW w:w="705" w:type="dxa"/>
          </w:tcPr>
          <w:p w14:paraId="02EA910F" w14:textId="77777777" w:rsidR="00096C7F" w:rsidRDefault="00096C7F" w:rsidP="00F61DA6">
            <w:pPr>
              <w:jc w:val="center"/>
              <w:rPr>
                <w:rFonts w:ascii="Times New Roman" w:hAnsi="Times New Roman"/>
                <w:szCs w:val="24"/>
              </w:rPr>
            </w:pPr>
            <w:r>
              <w:rPr>
                <w:rFonts w:ascii="Times New Roman" w:hAnsi="Times New Roman"/>
                <w:color w:val="000000"/>
                <w:szCs w:val="24"/>
              </w:rPr>
              <w:t>1</w:t>
            </w:r>
          </w:p>
        </w:tc>
        <w:tc>
          <w:tcPr>
            <w:tcW w:w="2805" w:type="dxa"/>
          </w:tcPr>
          <w:p w14:paraId="7BCBAE9C" w14:textId="77777777" w:rsidR="00096C7F" w:rsidRDefault="00096C7F" w:rsidP="00F61DA6">
            <w:pPr>
              <w:rPr>
                <w:rFonts w:ascii="Times New Roman" w:hAnsi="Times New Roman"/>
                <w:szCs w:val="24"/>
              </w:rPr>
            </w:pPr>
            <w:r>
              <w:rPr>
                <w:rFonts w:ascii="Times New Roman" w:hAnsi="Times New Roman"/>
                <w:b/>
                <w:color w:val="000000"/>
                <w:szCs w:val="24"/>
              </w:rPr>
              <w:t>Кінцевий строк подання тендерної пропозиції</w:t>
            </w:r>
          </w:p>
        </w:tc>
        <w:tc>
          <w:tcPr>
            <w:tcW w:w="6450" w:type="dxa"/>
            <w:vAlign w:val="center"/>
          </w:tcPr>
          <w:p w14:paraId="4FF67F6C" w14:textId="77777777" w:rsidR="00096C7F" w:rsidRDefault="00096C7F" w:rsidP="00F61DA6">
            <w:pPr>
              <w:ind w:left="40" w:right="120"/>
              <w:jc w:val="both"/>
              <w:rPr>
                <w:rFonts w:ascii="Times New Roman" w:hAnsi="Times New Roman"/>
                <w:szCs w:val="24"/>
                <w:highlight w:val="cyan"/>
              </w:rPr>
            </w:pPr>
            <w:r>
              <w:rPr>
                <w:rFonts w:ascii="Times New Roman" w:hAnsi="Times New Roman"/>
                <w:color w:val="000000"/>
                <w:szCs w:val="24"/>
              </w:rPr>
              <w:t xml:space="preserve">Кінцевий строк подання </w:t>
            </w:r>
            <w:r w:rsidRPr="00AB77B6">
              <w:rPr>
                <w:rFonts w:ascii="Times New Roman" w:hAnsi="Times New Roman"/>
                <w:szCs w:val="24"/>
              </w:rPr>
              <w:t xml:space="preserve">тендерних пропозицій — </w:t>
            </w:r>
            <w:r>
              <w:rPr>
                <w:rFonts w:ascii="Times New Roman" w:hAnsi="Times New Roman"/>
                <w:b/>
                <w:szCs w:val="24"/>
              </w:rPr>
              <w:t>04 грудня</w:t>
            </w:r>
            <w:r w:rsidRPr="00AB77B6">
              <w:rPr>
                <w:rFonts w:ascii="Times New Roman" w:hAnsi="Times New Roman"/>
                <w:b/>
                <w:szCs w:val="24"/>
              </w:rPr>
              <w:t xml:space="preserve"> 2023 року, 00:00 год.</w:t>
            </w:r>
            <w:r w:rsidRPr="00AB77B6">
              <w:rPr>
                <w:rFonts w:ascii="Times New Roman" w:hAnsi="Times New Roman"/>
                <w:szCs w:val="24"/>
              </w:rPr>
              <w:t xml:space="preserve"> </w:t>
            </w:r>
          </w:p>
          <w:p w14:paraId="3E83409B" w14:textId="77777777" w:rsidR="00096C7F" w:rsidRDefault="00096C7F" w:rsidP="00F61DA6">
            <w:pPr>
              <w:jc w:val="both"/>
              <w:rPr>
                <w:rFonts w:ascii="Times New Roman" w:hAnsi="Times New Roman"/>
                <w:szCs w:val="24"/>
              </w:rPr>
            </w:pPr>
            <w:r>
              <w:rPr>
                <w:rFonts w:ascii="Times New Roman" w:hAnsi="Times New Roman"/>
                <w:szCs w:val="24"/>
              </w:rPr>
              <w:t>Отримана тендерна пропозиція вноситься автоматично до реєстру отриманих тендерних пропозицій.</w:t>
            </w:r>
          </w:p>
          <w:p w14:paraId="4C524323" w14:textId="77777777" w:rsidR="00096C7F" w:rsidRDefault="00096C7F" w:rsidP="00F61DA6">
            <w:pPr>
              <w:jc w:val="both"/>
              <w:rPr>
                <w:rFonts w:ascii="Times New Roman" w:hAnsi="Times New Roman"/>
                <w:szCs w:val="24"/>
              </w:rPr>
            </w:pPr>
            <w:r>
              <w:rPr>
                <w:rFonts w:ascii="Times New Roman" w:hAnsi="Times New Roman"/>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AE684D6" w14:textId="77777777" w:rsidR="00096C7F" w:rsidRDefault="00096C7F" w:rsidP="00F61DA6">
            <w:pPr>
              <w:pBdr>
                <w:top w:val="nil"/>
                <w:left w:val="nil"/>
                <w:bottom w:val="nil"/>
                <w:right w:val="nil"/>
                <w:between w:val="nil"/>
              </w:pBdr>
              <w:jc w:val="both"/>
              <w:rPr>
                <w:rFonts w:ascii="Times New Roman" w:hAnsi="Times New Roman"/>
                <w:szCs w:val="24"/>
              </w:rPr>
            </w:pPr>
            <w:r>
              <w:rPr>
                <w:rFonts w:ascii="Times New Roman" w:hAnsi="Times New Roman"/>
                <w:szCs w:val="24"/>
              </w:rPr>
              <w:t>Тендерні пропозиції після закінчення кінцевого строку їх подання не приймаються електронною системою закупівель.</w:t>
            </w:r>
          </w:p>
          <w:p w14:paraId="4882C787" w14:textId="77777777" w:rsidR="00096C7F" w:rsidRDefault="00096C7F" w:rsidP="00F61DA6">
            <w:pPr>
              <w:pBdr>
                <w:top w:val="nil"/>
                <w:left w:val="nil"/>
                <w:bottom w:val="nil"/>
                <w:right w:val="nil"/>
                <w:between w:val="nil"/>
              </w:pBdr>
              <w:jc w:val="both"/>
              <w:rPr>
                <w:rFonts w:ascii="Times New Roman" w:hAnsi="Times New Roman"/>
                <w:strike/>
                <w:szCs w:val="24"/>
              </w:rPr>
            </w:pPr>
          </w:p>
        </w:tc>
      </w:tr>
    </w:tbl>
    <w:p w14:paraId="50FD5B67" w14:textId="721FD9DC" w:rsidR="001A1AFA" w:rsidRDefault="001A1AFA">
      <w:pPr>
        <w:rPr>
          <w:lang w:val="uk-UA"/>
        </w:rPr>
      </w:pPr>
    </w:p>
    <w:p w14:paraId="3BCC10F0" w14:textId="0B716BC0" w:rsidR="00625A9E" w:rsidRDefault="00625A9E" w:rsidP="00625A9E">
      <w:pPr>
        <w:rPr>
          <w:lang w:val="uk-UA"/>
        </w:rPr>
      </w:pPr>
      <w:r>
        <w:rPr>
          <w:lang w:val="uk-UA"/>
        </w:rPr>
        <w:t>2. Викласти додаток №2 до тендерної документації в новій редакції:</w:t>
      </w:r>
    </w:p>
    <w:p w14:paraId="2F986A31" w14:textId="77777777" w:rsidR="00625A9E" w:rsidRDefault="00625A9E" w:rsidP="00625A9E">
      <w:pPr>
        <w:rPr>
          <w:lang w:val="uk-UA"/>
        </w:rPr>
      </w:pPr>
    </w:p>
    <w:p w14:paraId="06CE394F" w14:textId="77777777" w:rsidR="00096C7F" w:rsidRPr="008A5456" w:rsidRDefault="00096C7F" w:rsidP="00096C7F">
      <w:pPr>
        <w:pStyle w:val="a3"/>
        <w:spacing w:after="0" w:line="240" w:lineRule="auto"/>
        <w:jc w:val="right"/>
        <w:rPr>
          <w:rFonts w:ascii="Times New Roman" w:hAnsi="Times New Roman"/>
          <w:b/>
          <w:sz w:val="24"/>
          <w:szCs w:val="24"/>
        </w:rPr>
      </w:pPr>
      <w:r>
        <w:rPr>
          <w:rFonts w:ascii="Times New Roman" w:hAnsi="Times New Roman"/>
          <w:b/>
          <w:sz w:val="24"/>
          <w:szCs w:val="24"/>
        </w:rPr>
        <w:t>Додаток 2</w:t>
      </w:r>
    </w:p>
    <w:p w14:paraId="3079362F" w14:textId="77777777" w:rsidR="00096C7F" w:rsidRPr="008A5456" w:rsidRDefault="00096C7F" w:rsidP="00096C7F">
      <w:pPr>
        <w:jc w:val="right"/>
        <w:rPr>
          <w:rFonts w:ascii="Times New Roman" w:hAnsi="Times New Roman"/>
          <w:b/>
          <w:color w:val="000000"/>
          <w:szCs w:val="24"/>
        </w:rPr>
      </w:pPr>
      <w:r w:rsidRPr="008A5456">
        <w:rPr>
          <w:rFonts w:ascii="Times New Roman" w:hAnsi="Times New Roman"/>
          <w:b/>
          <w:color w:val="000000"/>
          <w:szCs w:val="24"/>
        </w:rPr>
        <w:t>до  тендерної документації</w:t>
      </w:r>
    </w:p>
    <w:p w14:paraId="3520828A" w14:textId="77777777" w:rsidR="00096C7F" w:rsidRPr="00005443" w:rsidRDefault="00096C7F" w:rsidP="00096C7F">
      <w:pPr>
        <w:pStyle w:val="a3"/>
        <w:spacing w:after="0"/>
        <w:jc w:val="right"/>
        <w:rPr>
          <w:rFonts w:ascii="Times New Roman" w:hAnsi="Times New Roman"/>
          <w:sz w:val="26"/>
          <w:szCs w:val="26"/>
        </w:rPr>
      </w:pPr>
    </w:p>
    <w:p w14:paraId="3B3CBD54" w14:textId="77777777" w:rsidR="00096C7F" w:rsidRPr="004B1859" w:rsidRDefault="00096C7F" w:rsidP="00096C7F">
      <w:pPr>
        <w:shd w:val="clear" w:color="auto" w:fill="FFFFFF"/>
        <w:jc w:val="center"/>
        <w:rPr>
          <w:rFonts w:ascii="Times New Roman" w:hAnsi="Times New Roman"/>
          <w:b/>
          <w:bCs/>
          <w:noProof/>
          <w:spacing w:val="-3"/>
          <w:szCs w:val="24"/>
        </w:rPr>
      </w:pPr>
    </w:p>
    <w:p w14:paraId="24380726" w14:textId="77777777" w:rsidR="00096C7F" w:rsidRPr="00CE6996" w:rsidRDefault="00096C7F" w:rsidP="00096C7F">
      <w:pPr>
        <w:overflowPunct w:val="0"/>
        <w:autoSpaceDE w:val="0"/>
        <w:autoSpaceDN w:val="0"/>
        <w:adjustRightInd w:val="0"/>
        <w:jc w:val="center"/>
        <w:textAlignment w:val="baseline"/>
        <w:rPr>
          <w:rFonts w:ascii="Times New Roman" w:hAnsi="Times New Roman"/>
          <w:b/>
          <w:bCs/>
          <w:color w:val="000000"/>
          <w:szCs w:val="24"/>
        </w:rPr>
      </w:pPr>
      <w:r w:rsidRPr="00CE6996">
        <w:rPr>
          <w:rFonts w:ascii="Times New Roman" w:hAnsi="Times New Roman"/>
          <w:b/>
          <w:bCs/>
          <w:color w:val="000000"/>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14770929" w14:textId="77777777" w:rsidR="00096C7F" w:rsidRPr="00DE1EEC" w:rsidRDefault="00096C7F" w:rsidP="00096C7F">
      <w:pPr>
        <w:autoSpaceDE w:val="0"/>
        <w:autoSpaceDN w:val="0"/>
        <w:adjustRightInd w:val="0"/>
        <w:ind w:firstLine="567"/>
        <w:jc w:val="center"/>
        <w:rPr>
          <w:rFonts w:ascii="Times New Roman" w:hAnsi="Times New Roman"/>
          <w:b/>
          <w:szCs w:val="24"/>
          <w:lang w:eastAsia="uk-UA"/>
        </w:rPr>
      </w:pPr>
      <w:r w:rsidRPr="00A22EAF">
        <w:rPr>
          <w:rFonts w:ascii="Times New Roman" w:hAnsi="Times New Roman"/>
          <w:b/>
          <w:szCs w:val="24"/>
          <w:lang w:eastAsia="uk-UA"/>
        </w:rPr>
        <w:t>Встановлення автоматичних розсувних дверей (Код ДК 021:2015:45420000-7 Столярні та теслярні роботи)</w:t>
      </w:r>
    </w:p>
    <w:tbl>
      <w:tblPr>
        <w:tblW w:w="10345" w:type="dxa"/>
        <w:jc w:val="center"/>
        <w:tblLayout w:type="fixed"/>
        <w:tblCellMar>
          <w:left w:w="28" w:type="dxa"/>
          <w:right w:w="28" w:type="dxa"/>
        </w:tblCellMar>
        <w:tblLook w:val="04A0" w:firstRow="1" w:lastRow="0" w:firstColumn="1" w:lastColumn="0" w:noHBand="0" w:noVBand="1"/>
      </w:tblPr>
      <w:tblGrid>
        <w:gridCol w:w="137"/>
        <w:gridCol w:w="567"/>
        <w:gridCol w:w="5387"/>
        <w:gridCol w:w="1418"/>
        <w:gridCol w:w="1418"/>
        <w:gridCol w:w="1279"/>
        <w:gridCol w:w="139"/>
      </w:tblGrid>
      <w:tr w:rsidR="00096C7F" w:rsidRPr="00DE1EEC" w14:paraId="67A5B11A" w14:textId="77777777" w:rsidTr="00F61DA6">
        <w:trPr>
          <w:gridAfter w:val="1"/>
          <w:wAfter w:w="139" w:type="dxa"/>
          <w:jc w:val="center"/>
        </w:trPr>
        <w:tc>
          <w:tcPr>
            <w:tcW w:w="10206" w:type="dxa"/>
            <w:gridSpan w:val="6"/>
            <w:hideMark/>
          </w:tcPr>
          <w:p w14:paraId="35A720E5" w14:textId="77777777" w:rsidR="00096C7F" w:rsidRPr="00DE1EEC" w:rsidRDefault="00096C7F" w:rsidP="00F61DA6">
            <w:pPr>
              <w:keepLines/>
              <w:autoSpaceDE w:val="0"/>
              <w:autoSpaceDN w:val="0"/>
              <w:rPr>
                <w:rFonts w:ascii="Arial" w:hAnsi="Arial" w:cs="Arial"/>
                <w:sz w:val="20"/>
              </w:rPr>
            </w:pPr>
            <w:r w:rsidRPr="00DE1EEC">
              <w:rPr>
                <w:rFonts w:ascii="Arial" w:hAnsi="Arial" w:cs="Arial"/>
                <w:spacing w:val="-3"/>
                <w:sz w:val="20"/>
              </w:rPr>
              <w:t xml:space="preserve">Об'єми </w:t>
            </w:r>
          </w:p>
        </w:tc>
      </w:tr>
      <w:tr w:rsidR="00096C7F" w:rsidRPr="00DE1EEC" w14:paraId="0AE4E68F" w14:textId="77777777" w:rsidTr="00F61DA6">
        <w:trPr>
          <w:gridBefore w:val="1"/>
          <w:wBefore w:w="137" w:type="dxa"/>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A883053" w14:textId="77777777" w:rsidR="00096C7F" w:rsidRPr="00DE1EEC" w:rsidRDefault="00096C7F" w:rsidP="00F61DA6">
            <w:pPr>
              <w:keepLines/>
              <w:autoSpaceDE w:val="0"/>
              <w:autoSpaceDN w:val="0"/>
              <w:jc w:val="center"/>
              <w:rPr>
                <w:rFonts w:ascii="Arial" w:hAnsi="Arial" w:cs="Arial"/>
                <w:spacing w:val="-3"/>
                <w:sz w:val="20"/>
              </w:rPr>
            </w:pPr>
            <w:r w:rsidRPr="00DE1EEC">
              <w:rPr>
                <w:rFonts w:ascii="Arial" w:hAnsi="Arial" w:cs="Arial"/>
                <w:spacing w:val="-3"/>
                <w:sz w:val="20"/>
              </w:rPr>
              <w:lastRenderedPageBreak/>
              <w:t>№</w:t>
            </w:r>
          </w:p>
          <w:p w14:paraId="35B2BFFD" w14:textId="77777777" w:rsidR="00096C7F" w:rsidRPr="00DE1EEC" w:rsidRDefault="00096C7F" w:rsidP="00F61DA6">
            <w:pPr>
              <w:keepLines/>
              <w:autoSpaceDE w:val="0"/>
              <w:autoSpaceDN w:val="0"/>
              <w:jc w:val="center"/>
              <w:rPr>
                <w:rFonts w:ascii="Arial" w:hAnsi="Arial" w:cs="Arial"/>
                <w:sz w:val="20"/>
              </w:rPr>
            </w:pPr>
            <w:r w:rsidRPr="00DE1EEC">
              <w:rPr>
                <w:rFonts w:ascii="Arial" w:hAnsi="Arial" w:cs="Arial"/>
                <w:spacing w:val="-3"/>
                <w:sz w:val="20"/>
              </w:rPr>
              <w:t>Ч.ч.</w:t>
            </w:r>
          </w:p>
        </w:tc>
        <w:tc>
          <w:tcPr>
            <w:tcW w:w="5387" w:type="dxa"/>
            <w:tcBorders>
              <w:top w:val="single" w:sz="4" w:space="0" w:color="auto"/>
              <w:left w:val="nil"/>
              <w:bottom w:val="single" w:sz="4" w:space="0" w:color="auto"/>
              <w:right w:val="nil"/>
            </w:tcBorders>
            <w:vAlign w:val="center"/>
          </w:tcPr>
          <w:p w14:paraId="257C0C9A" w14:textId="77777777" w:rsidR="00096C7F" w:rsidRPr="00DE1EEC" w:rsidRDefault="00096C7F" w:rsidP="00F61DA6">
            <w:pPr>
              <w:keepLines/>
              <w:autoSpaceDE w:val="0"/>
              <w:autoSpaceDN w:val="0"/>
              <w:jc w:val="center"/>
              <w:rPr>
                <w:rFonts w:ascii="Arial" w:hAnsi="Arial" w:cs="Arial"/>
                <w:spacing w:val="-3"/>
                <w:sz w:val="20"/>
              </w:rPr>
            </w:pPr>
          </w:p>
          <w:p w14:paraId="22FC328F" w14:textId="77777777" w:rsidR="00096C7F" w:rsidRPr="00DE1EEC" w:rsidRDefault="00096C7F" w:rsidP="00F61DA6">
            <w:pPr>
              <w:keepLines/>
              <w:autoSpaceDE w:val="0"/>
              <w:autoSpaceDN w:val="0"/>
              <w:jc w:val="center"/>
              <w:rPr>
                <w:rFonts w:ascii="Arial" w:hAnsi="Arial" w:cs="Arial"/>
                <w:sz w:val="20"/>
              </w:rPr>
            </w:pPr>
            <w:r w:rsidRPr="00DE1EEC">
              <w:rPr>
                <w:rFonts w:ascii="Arial" w:hAnsi="Arial" w:cs="Arial"/>
                <w:spacing w:val="-3"/>
                <w:sz w:val="20"/>
              </w:rPr>
              <w:t>Найменування робіт і витрат</w:t>
            </w:r>
          </w:p>
        </w:tc>
        <w:tc>
          <w:tcPr>
            <w:tcW w:w="1418" w:type="dxa"/>
            <w:tcBorders>
              <w:top w:val="single" w:sz="4" w:space="0" w:color="auto"/>
              <w:left w:val="single" w:sz="4" w:space="0" w:color="auto"/>
              <w:bottom w:val="single" w:sz="4" w:space="0" w:color="auto"/>
              <w:right w:val="nil"/>
            </w:tcBorders>
            <w:vAlign w:val="center"/>
            <w:hideMark/>
          </w:tcPr>
          <w:p w14:paraId="402C5DC8" w14:textId="77777777" w:rsidR="00096C7F" w:rsidRPr="00DE1EEC" w:rsidRDefault="00096C7F" w:rsidP="00F61DA6">
            <w:pPr>
              <w:keepLines/>
              <w:autoSpaceDE w:val="0"/>
              <w:autoSpaceDN w:val="0"/>
              <w:jc w:val="center"/>
              <w:rPr>
                <w:rFonts w:ascii="Arial" w:hAnsi="Arial" w:cs="Arial"/>
                <w:spacing w:val="-3"/>
                <w:sz w:val="20"/>
              </w:rPr>
            </w:pPr>
            <w:r w:rsidRPr="00DE1EEC">
              <w:rPr>
                <w:rFonts w:ascii="Arial" w:hAnsi="Arial" w:cs="Arial"/>
                <w:spacing w:val="-3"/>
                <w:sz w:val="20"/>
              </w:rPr>
              <w:t>Одиниця</w:t>
            </w:r>
          </w:p>
          <w:p w14:paraId="0116A697" w14:textId="77777777" w:rsidR="00096C7F" w:rsidRPr="00DE1EEC" w:rsidRDefault="00096C7F" w:rsidP="00F61DA6">
            <w:pPr>
              <w:keepLines/>
              <w:autoSpaceDE w:val="0"/>
              <w:autoSpaceDN w:val="0"/>
              <w:jc w:val="center"/>
              <w:rPr>
                <w:rFonts w:ascii="Arial" w:hAnsi="Arial" w:cs="Arial"/>
                <w:sz w:val="20"/>
              </w:rPr>
            </w:pPr>
            <w:r w:rsidRPr="00DE1EEC">
              <w:rPr>
                <w:rFonts w:ascii="Arial" w:hAnsi="Arial" w:cs="Arial"/>
                <w:spacing w:val="-3"/>
                <w:sz w:val="20"/>
              </w:rPr>
              <w:t>виміру</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0195AB" w14:textId="77777777" w:rsidR="00096C7F" w:rsidRPr="00DE1EEC" w:rsidRDefault="00096C7F" w:rsidP="00F61DA6">
            <w:pPr>
              <w:keepLines/>
              <w:autoSpaceDE w:val="0"/>
              <w:autoSpaceDN w:val="0"/>
              <w:jc w:val="center"/>
              <w:rPr>
                <w:rFonts w:ascii="Arial" w:hAnsi="Arial" w:cs="Arial"/>
                <w:sz w:val="20"/>
              </w:rPr>
            </w:pPr>
            <w:r w:rsidRPr="00DE1EEC">
              <w:rPr>
                <w:rFonts w:ascii="Arial" w:hAnsi="Arial" w:cs="Arial"/>
                <w:spacing w:val="-3"/>
                <w:sz w:val="20"/>
              </w:rPr>
              <w:t xml:space="preserve">  Кількість</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20D79E69" w14:textId="77777777" w:rsidR="00096C7F" w:rsidRPr="00DE1EEC" w:rsidRDefault="00096C7F" w:rsidP="00F61DA6">
            <w:pPr>
              <w:keepLines/>
              <w:autoSpaceDE w:val="0"/>
              <w:autoSpaceDN w:val="0"/>
              <w:jc w:val="center"/>
              <w:rPr>
                <w:rFonts w:ascii="Arial" w:hAnsi="Arial" w:cs="Arial"/>
                <w:sz w:val="20"/>
              </w:rPr>
            </w:pPr>
            <w:r w:rsidRPr="00DE1EEC">
              <w:rPr>
                <w:rFonts w:ascii="Arial" w:hAnsi="Arial" w:cs="Arial"/>
                <w:spacing w:val="-3"/>
                <w:sz w:val="20"/>
              </w:rPr>
              <w:t>Примітка</w:t>
            </w:r>
          </w:p>
        </w:tc>
      </w:tr>
      <w:tr w:rsidR="00096C7F" w:rsidRPr="00DE1EEC" w14:paraId="01A9B7AF" w14:textId="77777777" w:rsidTr="00F61DA6">
        <w:trPr>
          <w:gridBefore w:val="1"/>
          <w:wBefore w:w="137" w:type="dxa"/>
          <w:jc w:val="center"/>
        </w:trPr>
        <w:tc>
          <w:tcPr>
            <w:tcW w:w="567" w:type="dxa"/>
            <w:tcBorders>
              <w:top w:val="single" w:sz="4" w:space="0" w:color="auto"/>
              <w:left w:val="single" w:sz="4" w:space="0" w:color="auto"/>
              <w:bottom w:val="single" w:sz="4" w:space="0" w:color="auto"/>
              <w:right w:val="single" w:sz="4" w:space="0" w:color="auto"/>
            </w:tcBorders>
            <w:hideMark/>
          </w:tcPr>
          <w:p w14:paraId="0A6DA936" w14:textId="77777777" w:rsidR="00096C7F" w:rsidRPr="00DE1EEC" w:rsidRDefault="00096C7F" w:rsidP="00F61DA6">
            <w:pPr>
              <w:keepLines/>
              <w:autoSpaceDE w:val="0"/>
              <w:autoSpaceDN w:val="0"/>
              <w:jc w:val="center"/>
              <w:rPr>
                <w:rFonts w:ascii="Arial" w:hAnsi="Arial" w:cs="Arial"/>
                <w:sz w:val="20"/>
              </w:rPr>
            </w:pPr>
            <w:r w:rsidRPr="00DE1EEC">
              <w:rPr>
                <w:rFonts w:ascii="Arial" w:hAnsi="Arial" w:cs="Arial"/>
                <w:spacing w:val="-3"/>
                <w:sz w:val="20"/>
              </w:rPr>
              <w:t>1</w:t>
            </w:r>
          </w:p>
        </w:tc>
        <w:tc>
          <w:tcPr>
            <w:tcW w:w="5387" w:type="dxa"/>
            <w:tcBorders>
              <w:top w:val="single" w:sz="4" w:space="0" w:color="auto"/>
              <w:bottom w:val="single" w:sz="4" w:space="0" w:color="auto"/>
            </w:tcBorders>
            <w:hideMark/>
          </w:tcPr>
          <w:p w14:paraId="2C012501" w14:textId="77777777" w:rsidR="00096C7F" w:rsidRPr="00DE1EEC" w:rsidRDefault="00096C7F" w:rsidP="00F61DA6">
            <w:pPr>
              <w:keepLines/>
              <w:autoSpaceDE w:val="0"/>
              <w:autoSpaceDN w:val="0"/>
              <w:rPr>
                <w:rFonts w:ascii="Arial" w:hAnsi="Arial" w:cs="Arial"/>
                <w:sz w:val="20"/>
              </w:rPr>
            </w:pPr>
            <w:r w:rsidRPr="00DE1EEC">
              <w:rPr>
                <w:rFonts w:ascii="Arial" w:hAnsi="Arial" w:cs="Arial"/>
                <w:spacing w:val="-3"/>
                <w:sz w:val="20"/>
              </w:rPr>
              <w:t>Встановлення автоматичних розсувних дверей</w:t>
            </w:r>
          </w:p>
        </w:tc>
        <w:tc>
          <w:tcPr>
            <w:tcW w:w="1418" w:type="dxa"/>
            <w:tcBorders>
              <w:top w:val="single" w:sz="4" w:space="0" w:color="auto"/>
              <w:left w:val="single" w:sz="4" w:space="0" w:color="auto"/>
              <w:bottom w:val="single" w:sz="4" w:space="0" w:color="auto"/>
              <w:right w:val="nil"/>
            </w:tcBorders>
            <w:hideMark/>
          </w:tcPr>
          <w:p w14:paraId="42F56D88" w14:textId="77777777" w:rsidR="00096C7F" w:rsidRPr="00DE1EEC" w:rsidRDefault="00096C7F" w:rsidP="00F61DA6">
            <w:pPr>
              <w:keepLines/>
              <w:autoSpaceDE w:val="0"/>
              <w:autoSpaceDN w:val="0"/>
              <w:jc w:val="center"/>
              <w:rPr>
                <w:rFonts w:ascii="Arial" w:hAnsi="Arial" w:cs="Arial"/>
                <w:sz w:val="20"/>
              </w:rPr>
            </w:pPr>
            <w:r w:rsidRPr="00DE1EEC">
              <w:rPr>
                <w:rFonts w:ascii="Arial" w:hAnsi="Arial" w:cs="Arial"/>
                <w:spacing w:val="-3"/>
                <w:sz w:val="20"/>
              </w:rPr>
              <w:t>м2</w:t>
            </w:r>
          </w:p>
        </w:tc>
        <w:tc>
          <w:tcPr>
            <w:tcW w:w="1418" w:type="dxa"/>
            <w:tcBorders>
              <w:top w:val="single" w:sz="4" w:space="0" w:color="auto"/>
              <w:left w:val="single" w:sz="4" w:space="0" w:color="auto"/>
              <w:bottom w:val="single" w:sz="4" w:space="0" w:color="auto"/>
              <w:right w:val="single" w:sz="4" w:space="0" w:color="auto"/>
            </w:tcBorders>
            <w:hideMark/>
          </w:tcPr>
          <w:p w14:paraId="5C77CFE6" w14:textId="77777777" w:rsidR="00096C7F" w:rsidRPr="00DE1EEC" w:rsidRDefault="00096C7F" w:rsidP="00F61DA6">
            <w:pPr>
              <w:keepLines/>
              <w:autoSpaceDE w:val="0"/>
              <w:autoSpaceDN w:val="0"/>
              <w:jc w:val="center"/>
              <w:rPr>
                <w:rFonts w:ascii="Arial" w:hAnsi="Arial" w:cs="Arial"/>
                <w:sz w:val="20"/>
              </w:rPr>
            </w:pPr>
            <w:r w:rsidRPr="00DE1EEC">
              <w:rPr>
                <w:rFonts w:ascii="Arial" w:hAnsi="Arial" w:cs="Arial"/>
                <w:spacing w:val="-3"/>
                <w:sz w:val="20"/>
              </w:rPr>
              <w:t>8,232</w:t>
            </w:r>
          </w:p>
        </w:tc>
        <w:tc>
          <w:tcPr>
            <w:tcW w:w="1418" w:type="dxa"/>
            <w:gridSpan w:val="2"/>
            <w:tcBorders>
              <w:top w:val="single" w:sz="4" w:space="0" w:color="auto"/>
              <w:left w:val="single" w:sz="4" w:space="0" w:color="auto"/>
              <w:bottom w:val="single" w:sz="4" w:space="0" w:color="auto"/>
              <w:right w:val="single" w:sz="4" w:space="0" w:color="auto"/>
            </w:tcBorders>
            <w:hideMark/>
          </w:tcPr>
          <w:p w14:paraId="7B6F8E0E" w14:textId="77777777" w:rsidR="00096C7F" w:rsidRPr="00DE1EEC" w:rsidRDefault="00096C7F" w:rsidP="00F61DA6">
            <w:pPr>
              <w:keepLines/>
              <w:autoSpaceDE w:val="0"/>
              <w:autoSpaceDN w:val="0"/>
              <w:jc w:val="center"/>
              <w:rPr>
                <w:rFonts w:ascii="Arial" w:hAnsi="Arial" w:cs="Arial"/>
                <w:sz w:val="16"/>
                <w:szCs w:val="16"/>
              </w:rPr>
            </w:pPr>
            <w:r w:rsidRPr="00DE1EEC">
              <w:rPr>
                <w:rFonts w:ascii="Arial" w:hAnsi="Arial" w:cs="Arial"/>
                <w:sz w:val="16"/>
                <w:szCs w:val="16"/>
              </w:rPr>
              <w:t xml:space="preserve"> </w:t>
            </w:r>
          </w:p>
        </w:tc>
      </w:tr>
    </w:tbl>
    <w:p w14:paraId="66F86D25" w14:textId="77777777" w:rsidR="00096C7F" w:rsidRPr="00DE1EEC" w:rsidRDefault="00096C7F" w:rsidP="00096C7F">
      <w:pPr>
        <w:rPr>
          <w:rFonts w:ascii="TimesNewRomanPS-BoldMT" w:hAnsi="TimesNewRomanPS-BoldMT"/>
          <w:b/>
          <w:bCs/>
          <w:color w:val="000000"/>
          <w:szCs w:val="24"/>
        </w:rPr>
      </w:pPr>
    </w:p>
    <w:p w14:paraId="6380039A" w14:textId="77777777" w:rsidR="00096C7F" w:rsidRPr="00DE1EEC" w:rsidRDefault="00096C7F" w:rsidP="00096C7F">
      <w:pPr>
        <w:rPr>
          <w:rFonts w:ascii="TimesNewRomanPS-BoldMT" w:hAnsi="TimesNewRomanPS-BoldMT"/>
          <w:b/>
          <w:bCs/>
          <w:color w:val="000000"/>
          <w:szCs w:val="24"/>
        </w:rPr>
      </w:pPr>
    </w:p>
    <w:p w14:paraId="4117041C" w14:textId="77777777" w:rsidR="00096C7F" w:rsidRPr="00DE1EEC" w:rsidRDefault="00096C7F" w:rsidP="00096C7F">
      <w:pPr>
        <w:rPr>
          <w:rFonts w:ascii="TimesNewRomanPS-BoldMT" w:hAnsi="TimesNewRomanPS-BoldMT"/>
          <w:b/>
          <w:bCs/>
          <w:color w:val="000000"/>
          <w:szCs w:val="24"/>
        </w:rPr>
      </w:pPr>
      <w:r w:rsidRPr="00DE1EEC">
        <w:rPr>
          <w:rFonts w:ascii="TimesNewRomanPS-BoldMT" w:hAnsi="TimesNewRomanPS-BoldMT"/>
          <w:b/>
          <w:bCs/>
          <w:color w:val="000000"/>
          <w:szCs w:val="24"/>
        </w:rPr>
        <w:t>Технічні вимоги до дверних конструкцій:</w:t>
      </w:r>
    </w:p>
    <w:p w14:paraId="2B0585DB" w14:textId="77777777" w:rsidR="00096C7F" w:rsidRPr="00DE1EEC" w:rsidRDefault="00096C7F" w:rsidP="00096C7F">
      <w:pPr>
        <w:rPr>
          <w:rFonts w:ascii="TimesNewRomanPSMT" w:hAnsi="TimesNewRomanPSMT"/>
          <w:color w:val="000000"/>
          <w:szCs w:val="24"/>
        </w:rPr>
      </w:pPr>
      <w:r w:rsidRPr="00DE1EEC">
        <w:rPr>
          <w:rFonts w:ascii="TimesNewRomanPSMT" w:hAnsi="TimesNewRomanPSMT"/>
          <w:color w:val="000000"/>
          <w:szCs w:val="24"/>
        </w:rPr>
        <w:t>Тип - дверний блок</w:t>
      </w:r>
    </w:p>
    <w:p w14:paraId="0DECFAAD" w14:textId="77777777" w:rsidR="00096C7F" w:rsidRPr="00DE1EEC" w:rsidRDefault="00096C7F" w:rsidP="00096C7F">
      <w:pPr>
        <w:rPr>
          <w:rFonts w:ascii="TimesNewRomanPSMT" w:hAnsi="TimesNewRomanPSMT"/>
          <w:color w:val="000000"/>
          <w:szCs w:val="24"/>
        </w:rPr>
      </w:pPr>
      <w:r w:rsidRPr="00DE1EEC">
        <w:rPr>
          <w:rFonts w:ascii="TimesNewRomanPSMT" w:hAnsi="TimesNewRomanPSMT"/>
          <w:color w:val="000000"/>
          <w:szCs w:val="24"/>
        </w:rPr>
        <w:t>Призначення двері - для офісних приміщень</w:t>
      </w:r>
    </w:p>
    <w:p w14:paraId="575989B3" w14:textId="77777777" w:rsidR="00096C7F" w:rsidRPr="00DE1EEC" w:rsidRDefault="00096C7F" w:rsidP="00096C7F">
      <w:pPr>
        <w:rPr>
          <w:rFonts w:ascii="TimesNewRomanPSMT" w:hAnsi="TimesNewRomanPSMT"/>
          <w:color w:val="000000"/>
          <w:szCs w:val="24"/>
        </w:rPr>
      </w:pPr>
      <w:r w:rsidRPr="00DE1EEC">
        <w:rPr>
          <w:rFonts w:ascii="TimesNewRomanPSMT" w:hAnsi="TimesNewRomanPSMT"/>
          <w:color w:val="000000"/>
          <w:szCs w:val="24"/>
        </w:rPr>
        <w:t>Тип відкривання дверей - автоматичний</w:t>
      </w:r>
    </w:p>
    <w:p w14:paraId="2104837A" w14:textId="77777777" w:rsidR="00096C7F" w:rsidRPr="00DE1EEC" w:rsidRDefault="00096C7F" w:rsidP="00096C7F">
      <w:pPr>
        <w:rPr>
          <w:rFonts w:ascii="TimesNewRomanPSMT" w:hAnsi="TimesNewRomanPSMT"/>
          <w:color w:val="000000"/>
          <w:szCs w:val="24"/>
        </w:rPr>
      </w:pPr>
      <w:r w:rsidRPr="00DE1EEC">
        <w:rPr>
          <w:rFonts w:ascii="TimesNewRomanPSMT" w:hAnsi="TimesNewRomanPSMT"/>
          <w:color w:val="000000"/>
          <w:szCs w:val="24"/>
        </w:rPr>
        <w:t>Спосіб відкривання дверей - розсувний</w:t>
      </w:r>
    </w:p>
    <w:p w14:paraId="4534A4EE" w14:textId="77777777" w:rsidR="00096C7F" w:rsidRPr="00DE1EEC" w:rsidRDefault="00096C7F" w:rsidP="00096C7F">
      <w:pPr>
        <w:rPr>
          <w:rFonts w:ascii="TimesNewRomanPSMT" w:hAnsi="TimesNewRomanPSMT"/>
          <w:color w:val="000000"/>
          <w:szCs w:val="24"/>
        </w:rPr>
      </w:pPr>
      <w:r w:rsidRPr="00DE1EEC">
        <w:rPr>
          <w:rFonts w:ascii="TimesNewRomanPSMT" w:hAnsi="TimesNewRomanPSMT"/>
          <w:color w:val="000000"/>
          <w:szCs w:val="24"/>
        </w:rPr>
        <w:t>Кількість стулок автоматичних дверей – 2</w:t>
      </w:r>
    </w:p>
    <w:p w14:paraId="0FA80E7D" w14:textId="77777777" w:rsidR="00096C7F" w:rsidRPr="00DE1EEC" w:rsidRDefault="00096C7F" w:rsidP="00096C7F">
      <w:pPr>
        <w:rPr>
          <w:rFonts w:ascii="TimesNewRomanPSMT" w:hAnsi="TimesNewRomanPSMT"/>
          <w:color w:val="000000"/>
          <w:szCs w:val="24"/>
        </w:rPr>
      </w:pPr>
      <w:r w:rsidRPr="00DE1EEC">
        <w:rPr>
          <w:rFonts w:ascii="TimesNewRomanPSMT" w:hAnsi="TimesNewRomanPSMT"/>
          <w:color w:val="000000"/>
          <w:szCs w:val="24"/>
        </w:rPr>
        <w:t>Датчик руху направлений</w:t>
      </w:r>
    </w:p>
    <w:p w14:paraId="3D408496" w14:textId="77777777" w:rsidR="00096C7F" w:rsidRPr="00DE1EEC" w:rsidRDefault="00096C7F" w:rsidP="00096C7F">
      <w:pPr>
        <w:rPr>
          <w:rFonts w:ascii="TimesNewRomanPSMT" w:hAnsi="TimesNewRomanPSMT"/>
          <w:color w:val="000000"/>
          <w:szCs w:val="24"/>
        </w:rPr>
      </w:pPr>
      <w:r w:rsidRPr="00DE1EEC">
        <w:rPr>
          <w:rFonts w:ascii="TimesNewRomanPSMT" w:hAnsi="TimesNewRomanPSMT"/>
          <w:color w:val="000000"/>
          <w:szCs w:val="24"/>
        </w:rPr>
        <w:t>Замок електромеханічний</w:t>
      </w:r>
    </w:p>
    <w:p w14:paraId="6F2B4AA7" w14:textId="77777777" w:rsidR="00096C7F" w:rsidRPr="00DE1EEC" w:rsidRDefault="00096C7F" w:rsidP="00096C7F">
      <w:pPr>
        <w:rPr>
          <w:rFonts w:ascii="TimesNewRomanPSMT" w:hAnsi="TimesNewRomanPSMT"/>
          <w:color w:val="000000"/>
          <w:szCs w:val="24"/>
        </w:rPr>
      </w:pPr>
      <w:r w:rsidRPr="00DE1EEC">
        <w:rPr>
          <w:rFonts w:ascii="TimesNewRomanPSMT" w:hAnsi="TimesNewRomanPSMT"/>
          <w:color w:val="000000"/>
          <w:szCs w:val="24"/>
        </w:rPr>
        <w:t xml:space="preserve">Профільна система </w:t>
      </w:r>
      <w:r w:rsidRPr="00DE1EEC">
        <w:rPr>
          <w:rFonts w:ascii="TimesNewRomanPSMT" w:hAnsi="TimesNewRomanPSMT"/>
          <w:color w:val="000000"/>
          <w:szCs w:val="24"/>
          <w:lang w:val="en-US"/>
        </w:rPr>
        <w:t>Framex</w:t>
      </w:r>
      <w:r w:rsidRPr="00DE1EEC">
        <w:rPr>
          <w:rFonts w:ascii="TimesNewRomanPSMT" w:hAnsi="TimesNewRomanPSMT"/>
          <w:color w:val="000000"/>
          <w:szCs w:val="24"/>
        </w:rPr>
        <w:t xml:space="preserve"> </w:t>
      </w:r>
      <w:r w:rsidRPr="00DE1EEC">
        <w:rPr>
          <w:rFonts w:ascii="TimesNewRomanPSMT" w:hAnsi="TimesNewRomanPSMT"/>
          <w:color w:val="000000"/>
          <w:szCs w:val="24"/>
          <w:lang w:val="en-US"/>
        </w:rPr>
        <w:t>F</w:t>
      </w:r>
      <w:r w:rsidRPr="00DE1EEC">
        <w:rPr>
          <w:rFonts w:ascii="TimesNewRomanPSMT" w:hAnsi="TimesNewRomanPSMT"/>
          <w:color w:val="000000"/>
          <w:szCs w:val="24"/>
        </w:rPr>
        <w:t xml:space="preserve">50 та </w:t>
      </w:r>
      <w:r w:rsidRPr="00DE1EEC">
        <w:rPr>
          <w:rFonts w:ascii="TimesNewRomanPSMT" w:hAnsi="TimesNewRomanPSMT"/>
          <w:color w:val="000000"/>
          <w:szCs w:val="24"/>
          <w:lang w:val="en-US"/>
        </w:rPr>
        <w:t>G</w:t>
      </w:r>
      <w:r w:rsidRPr="00DE1EEC">
        <w:rPr>
          <w:rFonts w:ascii="TimesNewRomanPSMT" w:hAnsi="TimesNewRomanPSMT"/>
          <w:color w:val="000000"/>
          <w:szCs w:val="24"/>
        </w:rPr>
        <w:t>-</w:t>
      </w:r>
      <w:r w:rsidRPr="00DE1EEC">
        <w:rPr>
          <w:rFonts w:ascii="TimesNewRomanPSMT" w:hAnsi="TimesNewRomanPSMT"/>
          <w:color w:val="000000"/>
          <w:szCs w:val="24"/>
          <w:lang w:val="en-US"/>
        </w:rPr>
        <w:t>U</w:t>
      </w:r>
      <w:r w:rsidRPr="00DE1EEC">
        <w:rPr>
          <w:rFonts w:ascii="TimesNewRomanPSMT" w:hAnsi="TimesNewRomanPSMT"/>
          <w:color w:val="000000"/>
          <w:szCs w:val="24"/>
        </w:rPr>
        <w:t xml:space="preserve"> </w:t>
      </w:r>
      <w:r w:rsidRPr="00DE1EEC">
        <w:rPr>
          <w:rFonts w:ascii="TimesNewRomanPSMT" w:hAnsi="TimesNewRomanPSMT"/>
          <w:color w:val="000000"/>
          <w:szCs w:val="24"/>
          <w:lang w:val="en-US"/>
        </w:rPr>
        <w:t>GS</w:t>
      </w:r>
      <w:r w:rsidRPr="00DE1EEC">
        <w:rPr>
          <w:rFonts w:ascii="TimesNewRomanPSMT" w:hAnsi="TimesNewRomanPSMT"/>
          <w:color w:val="000000"/>
          <w:szCs w:val="24"/>
        </w:rPr>
        <w:t>-</w:t>
      </w:r>
      <w:r w:rsidRPr="00DE1EEC">
        <w:rPr>
          <w:rFonts w:ascii="TimesNewRomanPSMT" w:hAnsi="TimesNewRomanPSMT"/>
          <w:color w:val="000000"/>
          <w:szCs w:val="24"/>
          <w:lang w:val="en-US"/>
        </w:rPr>
        <w:t>L</w:t>
      </w:r>
      <w:r w:rsidRPr="00DE1EEC">
        <w:rPr>
          <w:rFonts w:ascii="TimesNewRomanPSMT" w:hAnsi="TimesNewRomanPSMT"/>
          <w:color w:val="000000"/>
          <w:szCs w:val="24"/>
        </w:rPr>
        <w:t xml:space="preserve">  або аналоги.</w:t>
      </w:r>
    </w:p>
    <w:p w14:paraId="6ADBD28A" w14:textId="77777777" w:rsidR="00096C7F" w:rsidRPr="00DE1EEC" w:rsidRDefault="00096C7F" w:rsidP="00096C7F">
      <w:pPr>
        <w:rPr>
          <w:rFonts w:ascii="TimesNewRomanPSMT" w:hAnsi="TimesNewRomanPSMT"/>
          <w:color w:val="000000"/>
          <w:szCs w:val="24"/>
        </w:rPr>
      </w:pPr>
      <w:r w:rsidRPr="00DE1EEC">
        <w:rPr>
          <w:rFonts w:ascii="TimesNewRomanPSMT" w:hAnsi="TimesNewRomanPSMT"/>
          <w:color w:val="000000"/>
          <w:szCs w:val="24"/>
        </w:rPr>
        <w:t>Колір профілю –</w:t>
      </w:r>
      <w:r w:rsidRPr="00DE1EEC">
        <w:rPr>
          <w:rFonts w:ascii="TimesNewRomanPSMT" w:hAnsi="TimesNewRomanPSMT"/>
          <w:color w:val="000000"/>
          <w:szCs w:val="24"/>
          <w:lang w:val="en-US"/>
        </w:rPr>
        <w:t xml:space="preserve"> </w:t>
      </w:r>
      <w:r w:rsidRPr="00DE1EEC">
        <w:rPr>
          <w:rFonts w:ascii="TimesNewRomanPSMT" w:hAnsi="TimesNewRomanPSMT"/>
          <w:color w:val="000000"/>
          <w:szCs w:val="24"/>
        </w:rPr>
        <w:t>RAL9006.</w:t>
      </w:r>
    </w:p>
    <w:p w14:paraId="0E28EB4D" w14:textId="77777777" w:rsidR="00096C7F" w:rsidRPr="00DE1EEC" w:rsidRDefault="00096C7F" w:rsidP="00096C7F">
      <w:pPr>
        <w:rPr>
          <w:rFonts w:ascii="TimesNewRomanPSMT" w:hAnsi="TimesNewRomanPSMT"/>
          <w:color w:val="000000"/>
          <w:szCs w:val="24"/>
        </w:rPr>
      </w:pPr>
      <w:r w:rsidRPr="00DE1EEC">
        <w:rPr>
          <w:rFonts w:ascii="TimesNewRomanPSMT" w:hAnsi="TimesNewRomanPSMT"/>
          <w:color w:val="000000"/>
          <w:szCs w:val="24"/>
        </w:rPr>
        <w:t>Склопакет- моноскло 6мм</w:t>
      </w:r>
    </w:p>
    <w:p w14:paraId="52D7A37E" w14:textId="77777777" w:rsidR="00096C7F" w:rsidRPr="00DE1EEC" w:rsidRDefault="00096C7F" w:rsidP="00096C7F">
      <w:pPr>
        <w:rPr>
          <w:rFonts w:ascii="TimesNewRomanPSMT" w:hAnsi="TimesNewRomanPSMT"/>
          <w:color w:val="000000"/>
          <w:szCs w:val="24"/>
        </w:rPr>
      </w:pPr>
    </w:p>
    <w:p w14:paraId="35A7ED4B" w14:textId="77777777" w:rsidR="00096C7F" w:rsidRPr="00DE1EEC" w:rsidRDefault="00096C7F" w:rsidP="00096C7F">
      <w:pPr>
        <w:ind w:firstLine="360"/>
        <w:jc w:val="both"/>
        <w:rPr>
          <w:rFonts w:ascii="Times New Roman" w:hAnsi="Times New Roman"/>
          <w:iCs/>
          <w:color w:val="000000"/>
          <w:szCs w:val="24"/>
          <w:lang w:eastAsia="zh-CN"/>
        </w:rPr>
      </w:pPr>
      <w:r w:rsidRPr="00DE1EEC">
        <w:rPr>
          <w:rFonts w:ascii="Times New Roman" w:hAnsi="Times New Roman"/>
          <w:iCs/>
          <w:color w:val="000000"/>
          <w:szCs w:val="24"/>
          <w:lang w:eastAsia="zh-CN"/>
        </w:rPr>
        <w:t>Учасники, на підтвердження якості запропонованих ними дверних конструкцій, в складі тендерної пропозиції обов’язково повинні надавати документи, які підтверджують якість та технічну відповідність запропонованих конструкцій, передбаченими існуючими стандартами, нормами та правилами а саме:</w:t>
      </w:r>
    </w:p>
    <w:p w14:paraId="06472BE5" w14:textId="77777777" w:rsidR="00096C7F" w:rsidRPr="00DE1EEC" w:rsidRDefault="00096C7F" w:rsidP="00096C7F">
      <w:pPr>
        <w:pStyle w:val="a3"/>
        <w:numPr>
          <w:ilvl w:val="0"/>
          <w:numId w:val="2"/>
        </w:numPr>
        <w:spacing w:after="0"/>
        <w:jc w:val="both"/>
        <w:rPr>
          <w:rFonts w:ascii="Times New Roman" w:hAnsi="Times New Roman"/>
          <w:iCs/>
          <w:color w:val="000000"/>
          <w:sz w:val="24"/>
          <w:szCs w:val="24"/>
          <w:lang w:eastAsia="zh-CN"/>
        </w:rPr>
      </w:pPr>
      <w:r w:rsidRPr="00DE1EEC">
        <w:rPr>
          <w:rFonts w:ascii="Times New Roman" w:hAnsi="Times New Roman"/>
          <w:iCs/>
          <w:color w:val="000000"/>
          <w:sz w:val="24"/>
          <w:szCs w:val="24"/>
          <w:lang w:eastAsia="zh-CN"/>
        </w:rPr>
        <w:t>сертифікат відповідності на двері автоматичні розсувні щодо відповідності до ДСТУ EN 16005:2019; ДСТУ EN 60335-1:2017; ДСТУ EN 60335-2-103:2018; ДСТУ EN 60730-1:2018.</w:t>
      </w:r>
    </w:p>
    <w:p w14:paraId="736B94E7" w14:textId="77777777" w:rsidR="00096C7F" w:rsidRPr="00DE1EEC" w:rsidRDefault="00096C7F" w:rsidP="00096C7F">
      <w:pPr>
        <w:rPr>
          <w:rFonts w:ascii="TimesNewRomanPSMT" w:hAnsi="TimesNewRomanPSMT"/>
          <w:color w:val="000000"/>
          <w:szCs w:val="24"/>
        </w:rPr>
      </w:pPr>
    </w:p>
    <w:p w14:paraId="013C6246" w14:textId="77777777" w:rsidR="00096C7F" w:rsidRDefault="00096C7F" w:rsidP="00096C7F">
      <w:pPr>
        <w:ind w:right="113" w:firstLine="284"/>
        <w:contextualSpacing/>
        <w:jc w:val="both"/>
        <w:rPr>
          <w:rFonts w:ascii="Times New Roman" w:hAnsi="Times New Roman"/>
          <w:szCs w:val="24"/>
          <w:lang w:val="en-US"/>
        </w:rPr>
      </w:pPr>
      <w:r w:rsidRPr="00DE1EEC">
        <w:rPr>
          <w:rFonts w:ascii="Times New Roman" w:hAnsi="Times New Roman"/>
          <w:iCs/>
          <w:color w:val="000000"/>
          <w:szCs w:val="24"/>
          <w:lang w:eastAsia="zh-CN"/>
        </w:rPr>
        <w:t>Учасники для більш ефективної підготовки тендерної пропозиції повинні в період звернення за роз’ясненнями відвідати об’єкт на якому будуть надаватись послуги, ознайомитись на місці із особливостями надання послуг і скласти та надати в складі тендерної пропозиції Акт обстеження  об’єкта, завірену представником Замовника та представником від Учасника. Витрати на відвідування об’єкту несе учасник із власних коштів і вони не можуть бути предметом оскарження чи відшкодування. Можливість обстеження об’єкта, на якому виконуватимуться роботи, надається Замовником в робочий час відповідно до графіку роботи.</w:t>
      </w:r>
      <w:r w:rsidRPr="0004691C">
        <w:rPr>
          <w:rFonts w:ascii="Times New Roman" w:hAnsi="Times New Roman"/>
          <w:szCs w:val="24"/>
        </w:rPr>
        <w:t> </w:t>
      </w:r>
    </w:p>
    <w:p w14:paraId="0492D0C1" w14:textId="77777777" w:rsidR="00096C7F" w:rsidRDefault="00096C7F" w:rsidP="00096C7F">
      <w:pPr>
        <w:shd w:val="clear" w:color="auto" w:fill="FFFFFF"/>
        <w:jc w:val="both"/>
        <w:rPr>
          <w:rFonts w:ascii="Times New Roman" w:hAnsi="Times New Roman"/>
          <w:i/>
          <w:szCs w:val="24"/>
        </w:rPr>
      </w:pPr>
    </w:p>
    <w:p w14:paraId="0F5F2DDF" w14:textId="77777777" w:rsidR="00096C7F" w:rsidRPr="00CE6996" w:rsidRDefault="00096C7F" w:rsidP="00096C7F">
      <w:pPr>
        <w:shd w:val="clear" w:color="auto" w:fill="FFFFFF"/>
        <w:jc w:val="both"/>
        <w:rPr>
          <w:rFonts w:ascii="Times New Roman" w:hAnsi="Times New Roman"/>
          <w:i/>
          <w:szCs w:val="24"/>
        </w:rPr>
      </w:pPr>
      <w:r w:rsidRPr="00CE6996">
        <w:rPr>
          <w:rFonts w:ascii="Times New Roman" w:hAnsi="Times New Roman"/>
          <w:i/>
          <w:szCs w:val="24"/>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E6996">
        <w:rPr>
          <w:rFonts w:ascii="Times New Roman" w:hAnsi="Times New Roman"/>
          <w:i/>
          <w:szCs w:val="24"/>
          <w:u w:val="single"/>
        </w:rPr>
        <w:t>Після кожного такого посилання слід вважати наявний вираз «або еквівалент».</w:t>
      </w:r>
      <w:r w:rsidRPr="00CE6996">
        <w:rPr>
          <w:rFonts w:ascii="Times New Roman" w:hAnsi="Times New Roman"/>
          <w:i/>
          <w:szCs w:val="24"/>
        </w:rPr>
        <w:t xml:space="preserve"> </w:t>
      </w:r>
    </w:p>
    <w:p w14:paraId="516F73FF" w14:textId="77777777" w:rsidR="00096C7F" w:rsidRPr="00CE6996" w:rsidRDefault="00096C7F" w:rsidP="00096C7F">
      <w:pPr>
        <w:shd w:val="clear" w:color="auto" w:fill="FFFFFF"/>
        <w:jc w:val="both"/>
        <w:rPr>
          <w:rFonts w:ascii="Times New Roman" w:hAnsi="Times New Roman"/>
          <w:i/>
          <w:szCs w:val="24"/>
          <w:u w:val="single"/>
        </w:rPr>
      </w:pPr>
      <w:r w:rsidRPr="00CE6996">
        <w:rPr>
          <w:rFonts w:ascii="Times New Roman" w:hAnsi="Times New Roman"/>
          <w:i/>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CE6996">
        <w:rPr>
          <w:rFonts w:ascii="Times New Roman" w:hAnsi="Times New Roman"/>
          <w:i/>
          <w:szCs w:val="24"/>
          <w:u w:val="single"/>
        </w:rPr>
        <w:t xml:space="preserve">Після кожного такого посилання слід вважати наявний вираз «або еквівалент». </w:t>
      </w:r>
    </w:p>
    <w:p w14:paraId="54F1FAA2" w14:textId="77777777" w:rsidR="00625A9E" w:rsidRPr="004B1859" w:rsidRDefault="00625A9E" w:rsidP="00625A9E">
      <w:pPr>
        <w:ind w:left="5670"/>
        <w:rPr>
          <w:rFonts w:ascii="Times New Roman" w:hAnsi="Times New Roman"/>
          <w:bCs/>
          <w:szCs w:val="24"/>
        </w:rPr>
      </w:pPr>
    </w:p>
    <w:p w14:paraId="62290785" w14:textId="77777777" w:rsidR="00625A9E" w:rsidRPr="00D91EFC" w:rsidRDefault="00625A9E" w:rsidP="00625A9E">
      <w:pPr>
        <w:ind w:firstLine="708"/>
      </w:pPr>
    </w:p>
    <w:p w14:paraId="674D5EAF" w14:textId="77777777" w:rsidR="00625A9E" w:rsidRDefault="00625A9E" w:rsidP="00625A9E">
      <w:pPr>
        <w:rPr>
          <w:lang w:val="uk-UA"/>
        </w:rPr>
      </w:pPr>
    </w:p>
    <w:p w14:paraId="51ED2284" w14:textId="77777777" w:rsidR="00625A9E" w:rsidRDefault="00625A9E" w:rsidP="00625A9E">
      <w:pPr>
        <w:rPr>
          <w:lang w:val="uk-UA"/>
        </w:rPr>
      </w:pPr>
    </w:p>
    <w:p w14:paraId="14406960" w14:textId="7AF97EB7" w:rsidR="00625A9E" w:rsidRPr="00625A9E" w:rsidRDefault="00625A9E" w:rsidP="00625A9E">
      <w:pPr>
        <w:rPr>
          <w:lang w:val="uk-UA"/>
        </w:rPr>
      </w:pPr>
      <w:r>
        <w:rPr>
          <w:lang w:val="uk-UA"/>
        </w:rPr>
        <w:t>Всі інші положення тендерної документації залишити без змін.</w:t>
      </w:r>
    </w:p>
    <w:sectPr w:rsidR="00625A9E" w:rsidRPr="00625A9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2B9EB" w14:textId="77777777" w:rsidR="00146861" w:rsidRDefault="00146861">
      <w:r>
        <w:separator/>
      </w:r>
    </w:p>
  </w:endnote>
  <w:endnote w:type="continuationSeparator" w:id="0">
    <w:p w14:paraId="2597A7FE" w14:textId="77777777" w:rsidR="00146861" w:rsidRDefault="0014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63F2" w14:textId="77777777" w:rsidR="00146861" w:rsidRDefault="00146861">
      <w:r>
        <w:separator/>
      </w:r>
    </w:p>
  </w:footnote>
  <w:footnote w:type="continuationSeparator" w:id="0">
    <w:p w14:paraId="3481B720" w14:textId="77777777" w:rsidR="00146861" w:rsidRDefault="00146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184C" w14:textId="77777777" w:rsidR="00AF749C" w:rsidRPr="00247126" w:rsidRDefault="00AF749C">
    <w:pPr>
      <w:tabs>
        <w:tab w:val="center" w:pos="4564"/>
        <w:tab w:val="right" w:pos="7760"/>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57C9C"/>
    <w:multiLevelType w:val="hybridMultilevel"/>
    <w:tmpl w:val="837EE8B8"/>
    <w:lvl w:ilvl="0" w:tplc="6E7CFF10">
      <w:start w:val="1"/>
      <w:numFmt w:val="bullet"/>
      <w:lvlText w:val="-"/>
      <w:lvlJc w:val="left"/>
      <w:pPr>
        <w:ind w:left="644" w:hanging="360"/>
      </w:pPr>
      <w:rPr>
        <w:rFonts w:ascii="Times New Roman" w:eastAsiaTheme="minorHAnsi" w:hAnsi="Times New Roman" w:cs="Times New Roman" w:hint="default"/>
        <w:b/>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num w:numId="1" w16cid:durableId="1527868516">
    <w:abstractNumId w:val="1"/>
  </w:num>
  <w:num w:numId="2" w16cid:durableId="760371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5F"/>
    <w:rsid w:val="00096C7F"/>
    <w:rsid w:val="00130BC1"/>
    <w:rsid w:val="00146861"/>
    <w:rsid w:val="001A1AFA"/>
    <w:rsid w:val="00625A9E"/>
    <w:rsid w:val="007F030D"/>
    <w:rsid w:val="007F6331"/>
    <w:rsid w:val="00A8325F"/>
    <w:rsid w:val="00AF74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1558"/>
  <w15:chartTrackingRefBased/>
  <w15:docId w15:val="{93A7CF0F-D848-478D-9139-D3BC17B3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331"/>
    <w:pPr>
      <w:widowControl w:val="0"/>
      <w:spacing w:after="0" w:line="240" w:lineRule="auto"/>
    </w:pPr>
    <w:rPr>
      <w:rFonts w:ascii="Times New Roman CYR" w:eastAsia="Times New Roman" w:hAnsi="Times New Roman CYR" w:cs="Times New Roman"/>
      <w:kern w:val="0"/>
      <w:sz w:val="24"/>
      <w:szCs w:val="2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7F6331"/>
    <w:pPr>
      <w:widowControl/>
      <w:spacing w:before="100" w:beforeAutospacing="1" w:after="100" w:afterAutospacing="1"/>
    </w:pPr>
    <w:rPr>
      <w:rFonts w:ascii="Times New Roman" w:hAnsi="Times New Roman"/>
      <w:szCs w:val="24"/>
    </w:rPr>
  </w:style>
  <w:style w:type="paragraph" w:styleId="a3">
    <w:name w:val="List Paragraph"/>
    <w:basedOn w:val="a"/>
    <w:link w:val="a4"/>
    <w:uiPriority w:val="34"/>
    <w:qFormat/>
    <w:rsid w:val="00625A9E"/>
    <w:pPr>
      <w:widowControl/>
      <w:spacing w:after="200" w:line="276" w:lineRule="auto"/>
      <w:ind w:left="720"/>
      <w:contextualSpacing/>
    </w:pPr>
    <w:rPr>
      <w:rFonts w:ascii="Calibri" w:hAnsi="Calibri"/>
      <w:sz w:val="22"/>
      <w:szCs w:val="22"/>
      <w:lang w:val="uk-UA" w:eastAsia="en-US"/>
    </w:rPr>
  </w:style>
  <w:style w:type="character" w:customStyle="1" w:styleId="a4">
    <w:name w:val="Абзац списку Знак"/>
    <w:link w:val="a3"/>
    <w:uiPriority w:val="34"/>
    <w:locked/>
    <w:rsid w:val="00625A9E"/>
    <w:rPr>
      <w:rFonts w:ascii="Calibri" w:eastAsia="Times New Roman" w:hAnsi="Calibri" w:cs="Times New Roman"/>
      <w:kern w:val="0"/>
      <w14:ligatures w14:val="none"/>
    </w:rPr>
  </w:style>
  <w:style w:type="paragraph" w:customStyle="1" w:styleId="Standard">
    <w:name w:val="Standard"/>
    <w:rsid w:val="00625A9E"/>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14:ligatures w14:val="none"/>
    </w:rPr>
  </w:style>
  <w:style w:type="paragraph" w:styleId="a5">
    <w:name w:val="Title"/>
    <w:basedOn w:val="a"/>
    <w:link w:val="a6"/>
    <w:qFormat/>
    <w:rsid w:val="00625A9E"/>
    <w:pPr>
      <w:widowControl/>
      <w:jc w:val="center"/>
    </w:pPr>
    <w:rPr>
      <w:rFonts w:ascii="AdverGothic" w:hAnsi="AdverGothic"/>
      <w:b/>
      <w:sz w:val="28"/>
      <w:lang w:eastAsia="uk-UA"/>
    </w:rPr>
  </w:style>
  <w:style w:type="character" w:customStyle="1" w:styleId="a6">
    <w:name w:val="Назва Знак"/>
    <w:basedOn w:val="a0"/>
    <w:link w:val="a5"/>
    <w:rsid w:val="00625A9E"/>
    <w:rPr>
      <w:rFonts w:ascii="AdverGothic" w:eastAsia="Times New Roman" w:hAnsi="AdverGothic" w:cs="Times New Roman"/>
      <w:b/>
      <w:kern w:val="0"/>
      <w:sz w:val="28"/>
      <w:szCs w:val="20"/>
      <w:lang w:val="ru-RU" w:eastAsia="uk-UA"/>
      <w14:ligatures w14:val="none"/>
    </w:rPr>
  </w:style>
  <w:style w:type="paragraph" w:customStyle="1" w:styleId="FR2">
    <w:name w:val="FR2"/>
    <w:rsid w:val="00625A9E"/>
    <w:pPr>
      <w:widowControl w:val="0"/>
      <w:spacing w:after="0" w:line="240" w:lineRule="auto"/>
      <w:jc w:val="both"/>
    </w:pPr>
    <w:rPr>
      <w:rFonts w:ascii="Arial" w:eastAsia="Times New Roman" w:hAnsi="Arial" w:cs="Times New Roman"/>
      <w:snapToGrid w:val="0"/>
      <w:kern w:val="0"/>
      <w:szCs w:val="20"/>
      <w:lang w:val="ru-RU" w:eastAsia="ru-RU"/>
      <w14:ligatures w14:val="none"/>
    </w:rPr>
  </w:style>
  <w:style w:type="character" w:customStyle="1" w:styleId="rvts0">
    <w:name w:val="rvts0"/>
    <w:basedOn w:val="a0"/>
    <w:rsid w:val="007F030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0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3361</Words>
  <Characters>1917</Characters>
  <Application>Microsoft Office Word</Application>
  <DocSecurity>0</DocSecurity>
  <Lines>15</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Федан</dc:creator>
  <cp:keywords/>
  <dc:description/>
  <cp:lastModifiedBy>Ivan Fedan</cp:lastModifiedBy>
  <cp:revision>6</cp:revision>
  <dcterms:created xsi:type="dcterms:W3CDTF">2023-09-18T12:19:00Z</dcterms:created>
  <dcterms:modified xsi:type="dcterms:W3CDTF">2023-11-29T16:28:00Z</dcterms:modified>
</cp:coreProperties>
</file>