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BC" w:rsidRDefault="002D1B51" w:rsidP="00C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C42BBC" w:rsidRDefault="002D1B51" w:rsidP="00C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773B" w:rsidRPr="00C1773B" w:rsidRDefault="00C1773B" w:rsidP="00C1773B">
      <w:pPr>
        <w:keepNext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C1773B">
        <w:rPr>
          <w:rFonts w:ascii="Times New Roman" w:hAnsi="Times New Roman" w:cs="Times New Roman"/>
          <w:b/>
          <w:sz w:val="24"/>
          <w:szCs w:val="24"/>
          <w:lang w:val="ru-RU" w:eastAsia="en-US"/>
        </w:rPr>
        <w:t>ІНФОРМАЦІЯ</w:t>
      </w:r>
    </w:p>
    <w:p w:rsidR="00C1773B" w:rsidRPr="00C1773B" w:rsidRDefault="00C1773B" w:rsidP="00C1773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17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про необхідні</w:t>
      </w:r>
      <w:r w:rsidRPr="00C17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17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технічні, якісні та кількісні характеристики предмета закупівлі</w:t>
      </w:r>
      <w:r w:rsidRPr="00C17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</w:t>
      </w:r>
    </w:p>
    <w:p w:rsidR="00C1773B" w:rsidRPr="00C1773B" w:rsidRDefault="00C1773B" w:rsidP="00C1773B">
      <w:pPr>
        <w:keepNext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773B">
        <w:rPr>
          <w:rFonts w:ascii="Times New Roman" w:hAnsi="Times New Roman" w:cs="Times New Roman"/>
          <w:b/>
          <w:sz w:val="24"/>
          <w:szCs w:val="24"/>
          <w:lang w:val="ru-RU" w:eastAsia="en-US"/>
        </w:rPr>
        <w:t>в тому числі документи, які повинен надати</w:t>
      </w:r>
      <w:r w:rsidRPr="00C177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1773B">
        <w:rPr>
          <w:rFonts w:ascii="Times New Roman" w:hAnsi="Times New Roman" w:cs="Times New Roman"/>
          <w:b/>
          <w:sz w:val="24"/>
          <w:szCs w:val="24"/>
          <w:lang w:val="ru-RU" w:eastAsia="en-US"/>
        </w:rPr>
        <w:t>учасник для підтвердження</w:t>
      </w:r>
      <w:r w:rsidRPr="00C177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1773B">
        <w:rPr>
          <w:rFonts w:ascii="Times New Roman" w:hAnsi="Times New Roman" w:cs="Times New Roman"/>
          <w:b/>
          <w:sz w:val="24"/>
          <w:szCs w:val="24"/>
          <w:lang w:val="ru-RU" w:eastAsia="en-US"/>
        </w:rPr>
        <w:t>відповідності</w:t>
      </w:r>
      <w:r w:rsidRPr="00C177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зазначеним характеристикам</w:t>
      </w:r>
    </w:p>
    <w:p w:rsidR="00C1773B" w:rsidRPr="00C1773B" w:rsidRDefault="00C1773B" w:rsidP="00C1773B">
      <w:pPr>
        <w:tabs>
          <w:tab w:val="left" w:pos="225"/>
          <w:tab w:val="center" w:pos="4749"/>
        </w:tabs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77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Предмет закупівлі: </w:t>
      </w:r>
    </w:p>
    <w:p w:rsidR="00B856E8" w:rsidRPr="00D66902" w:rsidRDefault="00E860EE" w:rsidP="00D66902">
      <w:pPr>
        <w:tabs>
          <w:tab w:val="left" w:pos="6071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860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ДК 021:2015 – 33600000-6 — Фармацевтична продукція: </w:t>
      </w:r>
      <w:r w:rsidR="00D66902" w:rsidRPr="00D669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Лікарські засоби для лікування хвороб дихальної системи</w:t>
      </w:r>
    </w:p>
    <w:p w:rsidR="00711CAF" w:rsidRDefault="00711CAF" w:rsidP="00C1773B">
      <w:pPr>
        <w:tabs>
          <w:tab w:val="left" w:pos="6071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860EE" w:rsidRPr="005C5887" w:rsidRDefault="00E860EE" w:rsidP="00E8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5C5887">
        <w:rPr>
          <w:rFonts w:ascii="Times New Roman" w:hAnsi="Times New Roman" w:cs="Times New Roman"/>
          <w:b/>
          <w:iCs/>
          <w:color w:val="000000" w:themeColor="text1"/>
        </w:rPr>
        <w:t>МЕДИКО-ТЕХНІЧНІ ВИМОГИ</w:t>
      </w:r>
    </w:p>
    <w:p w:rsidR="00E860EE" w:rsidRPr="004A0C20" w:rsidRDefault="00E860EE" w:rsidP="00E86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421"/>
        <w:gridCol w:w="1701"/>
        <w:gridCol w:w="1701"/>
        <w:gridCol w:w="2126"/>
        <w:gridCol w:w="1984"/>
        <w:gridCol w:w="1134"/>
        <w:gridCol w:w="1276"/>
      </w:tblGrid>
      <w:tr w:rsidR="00E860EE" w:rsidRPr="001437C3" w:rsidTr="00711A2A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EE" w:rsidRPr="001437C3" w:rsidRDefault="00E860EE" w:rsidP="005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  <w:p w:rsidR="00E860EE" w:rsidRPr="001437C3" w:rsidRDefault="00E860EE" w:rsidP="005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EE" w:rsidRPr="001437C3" w:rsidRDefault="00E860EE" w:rsidP="005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Міжнародна непатентована назва (МНН) на англійській мові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EE" w:rsidRPr="001437C3" w:rsidRDefault="00E860EE" w:rsidP="005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Міжнародна непатентована назва (МНН) на українській мові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EE" w:rsidRPr="001437C3" w:rsidRDefault="00E860EE" w:rsidP="005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Форма ви</w:t>
            </w:r>
            <w:bookmarkStart w:id="0" w:name="_GoBack"/>
            <w:bookmarkEnd w:id="0"/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пуску*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EE" w:rsidRPr="001437C3" w:rsidRDefault="00E860EE" w:rsidP="005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Дозування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EE" w:rsidRPr="001437C3" w:rsidRDefault="00E860EE" w:rsidP="005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Од</w:t>
            </w: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иниця</w:t>
            </w: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EE" w:rsidRPr="001437C3" w:rsidRDefault="00E860EE" w:rsidP="005F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143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Кількість 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Fenoterol and ipratropium bromide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Іпратропія бромід, фенотеролу гідробромід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Розчин для інгаляцій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711A2A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6902" w:rsidRPr="00D66902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r w:rsidR="00711A2A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Fenoterol and ipratropium bromide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Іпратропія бромід, фенотеролу гідробромід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Аерозоль дозований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 мл 200 доз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r w:rsidR="00711A2A"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Salbutamol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Розчин для інгаляцій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1 мг/мл по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кантейнер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Теофілін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Розчин для ін’єкцій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20 мг/мл по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r w:rsidR="00711A2A">
              <w:rPr>
                <w:rFonts w:ascii="Times New Roman" w:hAnsi="Times New Roman" w:cs="Times New Roman"/>
                <w:sz w:val="20"/>
                <w:szCs w:val="20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Budesonide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Будесонід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Суспензія для розпилення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0,5 мг/мл по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Nikethamide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Нікетамід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Розчин для ін’єкцій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250 мг/мл по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711A2A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 xml:space="preserve">Acetylcysteine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Ацетилцистеїн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Розчин для ін’єкцій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100 мг/мл по 3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711A2A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Ambroxol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Амброксолу гідрохлорид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30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r w:rsidR="00711A2A">
              <w:rPr>
                <w:rFonts w:ascii="Times New Roman" w:hAnsi="Times New Roman" w:cs="Times New Roman"/>
                <w:sz w:val="20"/>
                <w:szCs w:val="20"/>
              </w:rPr>
              <w:t>летка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Chloropyramine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Хлоропірамін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Розчин для ін’єкцій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20 мг/мл по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711A2A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Cetirizine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711A2A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A2A">
              <w:rPr>
                <w:rFonts w:ascii="Times New Roman" w:hAnsi="Times New Roman" w:cs="Times New Roman"/>
                <w:sz w:val="20"/>
                <w:szCs w:val="20"/>
              </w:rPr>
              <w:t>Таблетки, вкриті оболонкою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10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r w:rsidR="00711A2A">
              <w:rPr>
                <w:rFonts w:ascii="Times New Roman" w:hAnsi="Times New Roman" w:cs="Times New Roman"/>
                <w:sz w:val="20"/>
                <w:szCs w:val="20"/>
              </w:rPr>
              <w:t>летка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66902" w:rsidRPr="001437C3" w:rsidTr="00711A2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pStyle w:val="af1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Diphenhydramine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Дифенгідрамін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Розчин для ін’єкцій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10 мг/мл по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711A2A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02" w:rsidRPr="00D66902" w:rsidRDefault="00D66902" w:rsidP="00D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711CAF" w:rsidRDefault="00711CAF" w:rsidP="00E860EE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E860EE" w:rsidRPr="004A0C20" w:rsidRDefault="00E860EE" w:rsidP="00E860E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 w:eastAsia="en-US"/>
        </w:rPr>
      </w:pPr>
      <w:r w:rsidRPr="004A0C20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>Увага! 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еквівалент*».</w:t>
      </w:r>
    </w:p>
    <w:p w:rsidR="00E860EE" w:rsidRPr="004A0C20" w:rsidRDefault="00E860EE" w:rsidP="00E860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 w:eastAsia="en-US"/>
        </w:rPr>
      </w:pPr>
      <w:r w:rsidRPr="004A0C20">
        <w:rPr>
          <w:rFonts w:ascii="Times New Roman" w:hAnsi="Times New Roman" w:cs="Times New Roman"/>
          <w:sz w:val="20"/>
          <w:szCs w:val="20"/>
          <w:lang w:val="ru-RU" w:eastAsia="en-US"/>
        </w:rPr>
        <w:t>* Еквівалентом (аналогом) лікарського засобу в розумінні даної тендерної документації є лікарський засіб, якість якого та діюча речовина препарату (міжнародна назва), дозування, форма вип</w:t>
      </w:r>
      <w:r>
        <w:rPr>
          <w:rFonts w:ascii="Times New Roman" w:hAnsi="Times New Roman" w:cs="Times New Roman"/>
          <w:sz w:val="20"/>
          <w:szCs w:val="20"/>
          <w:lang w:val="ru-RU" w:eastAsia="en-US"/>
        </w:rPr>
        <w:t>уску, кількість, концентрація та</w:t>
      </w:r>
      <w:r w:rsidRPr="004A0C20">
        <w:rPr>
          <w:rFonts w:ascii="Times New Roman" w:hAnsi="Times New Roman" w:cs="Times New Roman"/>
          <w:sz w:val="20"/>
          <w:szCs w:val="20"/>
          <w:lang w:val="ru-RU" w:eastAsia="en-US"/>
        </w:rPr>
        <w:t xml:space="preserve">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препарат повинен відповідати всім наведеним вимогам у даній Документації та бути біодоступним та біоеквівалентним в порівнянні з лікарським засобом, що є предметом закупівлі.</w:t>
      </w:r>
      <w:r w:rsidRPr="004A0C20">
        <w:rPr>
          <w:rFonts w:ascii="Times New Roman" w:hAnsi="Times New Roman" w:cs="Times New Roman"/>
          <w:i/>
          <w:sz w:val="20"/>
          <w:szCs w:val="20"/>
          <w:lang w:val="ru-RU" w:eastAsia="en-US"/>
        </w:rPr>
        <w:t xml:space="preserve"> </w:t>
      </w:r>
    </w:p>
    <w:p w:rsidR="00E860EE" w:rsidRPr="004A0C20" w:rsidRDefault="00E860EE" w:rsidP="00E86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US"/>
        </w:rPr>
      </w:pPr>
    </w:p>
    <w:p w:rsidR="00E742A1" w:rsidRDefault="00E742A1" w:rsidP="00E742A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US"/>
        </w:rPr>
      </w:pPr>
      <w:r w:rsidRPr="004A0C20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US"/>
        </w:rPr>
        <w:t>ЗАГАЛЬНІ ВИМОГИ:</w:t>
      </w:r>
    </w:p>
    <w:p w:rsidR="00E742A1" w:rsidRPr="00E860EE" w:rsidRDefault="00E742A1" w:rsidP="00E742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860EE">
        <w:rPr>
          <w:rFonts w:ascii="Times New Roman" w:hAnsi="Times New Roman" w:cs="Times New Roman"/>
          <w:b/>
          <w:bCs/>
          <w:color w:val="000000"/>
          <w:lang w:eastAsia="en-US"/>
        </w:rPr>
        <w:lastRenderedPageBreak/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E742A1" w:rsidRPr="00E860EE" w:rsidRDefault="00E742A1" w:rsidP="00E742A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E860EE">
        <w:rPr>
          <w:rFonts w:ascii="Times New Roman" w:hAnsi="Times New Roman" w:cs="Times New Roman"/>
          <w:color w:val="000000"/>
          <w:lang w:eastAsia="en-US"/>
        </w:rPr>
        <w:t xml:space="preserve">1) </w:t>
      </w:r>
      <w:r w:rsidRPr="00756259">
        <w:rPr>
          <w:rFonts w:ascii="Times New Roman" w:hAnsi="Times New Roman" w:cs="Times New Roman"/>
          <w:color w:val="000000"/>
          <w:lang w:eastAsia="en-US"/>
        </w:rPr>
        <w:t xml:space="preserve">Запропонований Учасником лікарський засіб повинен бути зареєстрованим в Україні у встановленому законодавством порядку. В складі пропозиції учасник надає </w:t>
      </w:r>
      <w:r>
        <w:rPr>
          <w:rFonts w:ascii="Times New Roman" w:hAnsi="Times New Roman" w:cs="Times New Roman"/>
          <w:color w:val="000000"/>
          <w:lang w:eastAsia="en-US"/>
        </w:rPr>
        <w:t>довідку</w:t>
      </w:r>
      <w:r w:rsidRPr="00E860EE">
        <w:rPr>
          <w:rFonts w:ascii="Times New Roman" w:hAnsi="Times New Roman" w:cs="Times New Roman"/>
          <w:color w:val="000000"/>
          <w:lang w:eastAsia="en-US"/>
        </w:rPr>
        <w:t xml:space="preserve"> в довільній формі про наявність сертифікатів якості та реєстраційних посвідчень на товар</w:t>
      </w:r>
      <w:r>
        <w:rPr>
          <w:rFonts w:ascii="Times New Roman" w:hAnsi="Times New Roman" w:cs="Times New Roman"/>
          <w:color w:val="000000"/>
          <w:lang w:eastAsia="en-US"/>
        </w:rPr>
        <w:t>,</w:t>
      </w:r>
      <w:r w:rsidRPr="00E860EE">
        <w:rPr>
          <w:rFonts w:ascii="Times New Roman" w:hAnsi="Times New Roman" w:cs="Times New Roman"/>
          <w:color w:val="000000"/>
          <w:lang w:eastAsia="en-US"/>
        </w:rPr>
        <w:t xml:space="preserve"> що пропонується згідно МТВ;</w:t>
      </w:r>
    </w:p>
    <w:p w:rsidR="00E742A1" w:rsidRPr="00E860EE" w:rsidRDefault="00E742A1" w:rsidP="00E742A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2) Довідка </w:t>
      </w:r>
      <w:r w:rsidRPr="00E860EE">
        <w:rPr>
          <w:rFonts w:ascii="Times New Roman" w:hAnsi="Times New Roman" w:cs="Times New Roman"/>
          <w:color w:val="000000"/>
          <w:lang w:eastAsia="en-US"/>
        </w:rPr>
        <w:t>в якій учасник торгів зазначає детальний о</w:t>
      </w:r>
      <w:r>
        <w:rPr>
          <w:rFonts w:ascii="Times New Roman" w:hAnsi="Times New Roman" w:cs="Times New Roman"/>
          <w:color w:val="000000"/>
          <w:lang w:eastAsia="en-US"/>
        </w:rPr>
        <w:t>пис товару за наступним взірцем</w:t>
      </w:r>
      <w:r w:rsidRPr="00E860EE">
        <w:rPr>
          <w:rFonts w:ascii="Times New Roman" w:hAnsi="Times New Roman" w:cs="Times New Roman"/>
          <w:color w:val="000000"/>
          <w:lang w:eastAsia="en-US"/>
        </w:rPr>
        <w:t xml:space="preserve">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1843"/>
        <w:gridCol w:w="992"/>
        <w:gridCol w:w="992"/>
        <w:gridCol w:w="1701"/>
      </w:tblGrid>
      <w:tr w:rsidR="00E742A1" w:rsidRPr="0097049C" w:rsidTr="00892F1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Pr="00E860EE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</w:pPr>
            <w:r w:rsidRPr="00E860E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Pr="00E860EE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</w:pPr>
            <w:r w:rsidRPr="00E860E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  <w:t>МНН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Pr="00295A85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</w:pPr>
            <w:r w:rsidRPr="00295A8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>Учасник зазначає запропонований товар за предметом закупівлі, а саме його н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>айменування, форму випуску</w:t>
            </w:r>
            <w:r w:rsidRPr="00295A8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 xml:space="preserve"> та дозування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</w:pPr>
          </w:p>
          <w:p w:rsidR="00E742A1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</w:pPr>
          </w:p>
          <w:p w:rsidR="00E742A1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</w:pPr>
          </w:p>
          <w:p w:rsidR="00E742A1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</w:pPr>
          </w:p>
          <w:p w:rsidR="00E742A1" w:rsidRPr="00E860EE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</w:pPr>
            <w:r w:rsidRPr="000E414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 xml:space="preserve">Учасник зазначає інформацію, в довільній формі, щодо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>в</w:t>
            </w:r>
            <w:r w:rsidRPr="000E414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>иробник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>а та країни</w:t>
            </w:r>
            <w:r w:rsidRPr="000E414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 xml:space="preserve"> походження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Pr="00E860EE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</w:pPr>
            <w:r w:rsidRPr="00E860E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  <w:t>Од.</w:t>
            </w:r>
          </w:p>
          <w:p w:rsidR="00E742A1" w:rsidRPr="00E860EE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</w:pPr>
            <w:r w:rsidRPr="00E860E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</w:pPr>
            <w:r w:rsidRPr="00E860E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  <w:t>Кіль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  <w:t>-</w:t>
            </w:r>
          </w:p>
          <w:p w:rsidR="00E742A1" w:rsidRPr="00E860EE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</w:pPr>
            <w:r w:rsidRPr="00E860E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ru-RU"/>
              </w:rPr>
              <w:t>кість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0E4141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</w:pPr>
            <w:r w:rsidRPr="000E414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>Учасник зазначає інформацію, в довільній формі, щодо реєстраційних посвідчень на лікарський засіб, а саме:</w:t>
            </w:r>
          </w:p>
          <w:p w:rsidR="00E742A1" w:rsidRPr="000E4141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</w:pPr>
            <w:r w:rsidRPr="000E414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lang w:val="ru-RU"/>
              </w:rPr>
              <w:t>номер, дату початку та закінчення реєстрації в Україні</w:t>
            </w:r>
          </w:p>
        </w:tc>
      </w:tr>
      <w:tr w:rsidR="00E742A1" w:rsidRPr="0097049C" w:rsidTr="00892F1A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049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42A1" w:rsidRPr="0097049C" w:rsidTr="00892F1A">
        <w:trPr>
          <w:trHeight w:val="1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049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42A1" w:rsidRPr="0097049C" w:rsidTr="00892F1A">
        <w:trPr>
          <w:trHeight w:val="1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049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42A1" w:rsidRPr="0097049C" w:rsidTr="00892F1A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2A1" w:rsidRPr="0097049C" w:rsidRDefault="00E742A1" w:rsidP="00892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2A1" w:rsidRPr="0097049C" w:rsidRDefault="00E742A1" w:rsidP="00892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742A1" w:rsidRDefault="00E742A1" w:rsidP="00E742A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E742A1" w:rsidRPr="00E860EE" w:rsidRDefault="00E742A1" w:rsidP="00E742A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E860EE">
        <w:rPr>
          <w:rFonts w:ascii="Times New Roman" w:hAnsi="Times New Roman" w:cs="Times New Roman"/>
          <w:color w:val="000000"/>
          <w:lang w:eastAsia="en-US"/>
        </w:rPr>
        <w:t xml:space="preserve">3) </w:t>
      </w:r>
      <w:r w:rsidRPr="000E4141">
        <w:rPr>
          <w:rFonts w:ascii="Times New Roman" w:hAnsi="Times New Roman" w:cs="Times New Roman"/>
          <w:color w:val="000000"/>
          <w:lang w:eastAsia="en-US"/>
        </w:rPr>
        <w:t>Залишковий термін придатності на момент поставки товару повинен складати не менше 80% від загального терміну придатності, установленого інструкцією виробника. (Учасник надає гарантійний лист).</w:t>
      </w:r>
    </w:p>
    <w:p w:rsidR="00E742A1" w:rsidRPr="00E860EE" w:rsidRDefault="00E742A1" w:rsidP="00E742A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E860EE">
        <w:rPr>
          <w:rFonts w:ascii="Times New Roman" w:hAnsi="Times New Roman" w:cs="Times New Roman"/>
          <w:color w:val="000000"/>
          <w:lang w:eastAsia="en-US"/>
        </w:rPr>
        <w:t xml:space="preserve">4) Спроможність учасника поставити товар повинна підтверджуватись оригіналом листа </w:t>
      </w:r>
      <w:r>
        <w:rPr>
          <w:rFonts w:ascii="Times New Roman" w:hAnsi="Times New Roman" w:cs="Times New Roman"/>
          <w:color w:val="000000"/>
          <w:lang w:eastAsia="en-US"/>
        </w:rPr>
        <w:t xml:space="preserve">Учасника </w:t>
      </w:r>
      <w:r w:rsidRPr="00E860EE">
        <w:rPr>
          <w:rFonts w:ascii="Times New Roman" w:hAnsi="Times New Roman" w:cs="Times New Roman"/>
          <w:bCs/>
          <w:iCs/>
          <w:color w:val="000000"/>
          <w:lang w:eastAsia="en-US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lang w:eastAsia="en-US"/>
        </w:rPr>
        <w:t xml:space="preserve">можливість </w:t>
      </w:r>
      <w:r w:rsidRPr="00E860EE">
        <w:rPr>
          <w:rFonts w:ascii="Times New Roman" w:hAnsi="Times New Roman" w:cs="Times New Roman"/>
          <w:bCs/>
          <w:iCs/>
          <w:color w:val="000000"/>
          <w:lang w:eastAsia="en-US"/>
        </w:rPr>
        <w:t>продаж</w:t>
      </w:r>
      <w:r>
        <w:rPr>
          <w:rFonts w:ascii="Times New Roman" w:hAnsi="Times New Roman" w:cs="Times New Roman"/>
          <w:bCs/>
          <w:iCs/>
          <w:color w:val="000000"/>
          <w:lang w:eastAsia="en-US"/>
        </w:rPr>
        <w:t>у (реалізації</w:t>
      </w:r>
      <w:r w:rsidRPr="00E860EE">
        <w:rPr>
          <w:rFonts w:ascii="Times New Roman" w:hAnsi="Times New Roman" w:cs="Times New Roman"/>
          <w:bCs/>
          <w:iCs/>
          <w:color w:val="000000"/>
          <w:lang w:eastAsia="en-US"/>
        </w:rPr>
        <w:t xml:space="preserve">) товару в Україні </w:t>
      </w:r>
      <w:r w:rsidRPr="00E860EE">
        <w:rPr>
          <w:rFonts w:ascii="Times New Roman" w:hAnsi="Times New Roman" w:cs="Times New Roman"/>
          <w:color w:val="000000"/>
          <w:lang w:eastAsia="en-US"/>
        </w:rPr>
        <w:t>у необхідній кількості, якості та у потрібні терміни</w:t>
      </w:r>
      <w:r w:rsidRPr="00E860EE">
        <w:rPr>
          <w:rFonts w:ascii="Times New Roman" w:hAnsi="Times New Roman" w:cs="Times New Roman"/>
          <w:bCs/>
          <w:iCs/>
          <w:color w:val="000000"/>
          <w:lang w:eastAsia="en-US"/>
        </w:rPr>
        <w:t xml:space="preserve">, виданим із зазначенням замовника торгів та номером закупівлі, що опубліковане в </w:t>
      </w:r>
      <w:r w:rsidRPr="00E860EE">
        <w:rPr>
          <w:rFonts w:ascii="Times New Roman" w:hAnsi="Times New Roman" w:cs="Times New Roman"/>
          <w:bCs/>
          <w:iCs/>
          <w:color w:val="000000"/>
          <w:lang w:val="en-US" w:eastAsia="en-US"/>
        </w:rPr>
        <w:t>Prozorro</w:t>
      </w:r>
      <w:r w:rsidRPr="00E860EE">
        <w:rPr>
          <w:rFonts w:ascii="Times New Roman" w:hAnsi="Times New Roman" w:cs="Times New Roman"/>
          <w:bCs/>
          <w:iCs/>
          <w:color w:val="000000"/>
          <w:lang w:eastAsia="en-US"/>
        </w:rPr>
        <w:t>.</w:t>
      </w:r>
      <w:r>
        <w:rPr>
          <w:rFonts w:ascii="Times New Roman" w:hAnsi="Times New Roman" w:cs="Times New Roman"/>
          <w:bCs/>
          <w:iCs/>
          <w:color w:val="000000"/>
          <w:lang w:eastAsia="en-US"/>
        </w:rPr>
        <w:t xml:space="preserve"> </w:t>
      </w:r>
    </w:p>
    <w:p w:rsidR="00E742A1" w:rsidRPr="00756259" w:rsidRDefault="00E742A1" w:rsidP="00E742A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E860EE">
        <w:rPr>
          <w:rFonts w:ascii="Times New Roman" w:hAnsi="Times New Roman" w:cs="Times New Roman"/>
          <w:color w:val="000000"/>
          <w:lang w:eastAsia="en-US"/>
        </w:rPr>
        <w:t xml:space="preserve">5) </w:t>
      </w:r>
      <w:r w:rsidRPr="00756259">
        <w:rPr>
          <w:rFonts w:ascii="Times New Roman" w:hAnsi="Times New Roman" w:cs="Times New Roman"/>
          <w:color w:val="000000"/>
          <w:lang w:eastAsia="en-US"/>
        </w:rPr>
        <w:t>Товар при поставці повинен супроводжуватись відповідними документами (сертифікатом якості, висновками про якісний та кількісний склад лікарського засобу та/або інше), який свідчить про його походження та якість, мати відповідне пакування та маркування згідно вимог діючого законодавства.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B4E94">
        <w:rPr>
          <w:rFonts w:ascii="Times New Roman" w:hAnsi="Times New Roman" w:cs="Times New Roman"/>
          <w:color w:val="000000"/>
          <w:lang w:eastAsia="en-US"/>
        </w:rPr>
        <w:t xml:space="preserve">При поставці </w:t>
      </w:r>
      <w:r w:rsidRPr="00756259">
        <w:rPr>
          <w:rFonts w:ascii="Times New Roman" w:hAnsi="Times New Roman" w:cs="Times New Roman"/>
          <w:color w:val="000000"/>
          <w:lang w:eastAsia="en-US"/>
        </w:rPr>
        <w:t>Поставка лікарських засобів здійснюється автотранспортом Учасника, який забезпечує умови зберігання та перевезення предмету закупівлі ("холодовий ланцюг" - якщо його дотримання вимагається умовами зберігання лікарських засобів).</w:t>
      </w:r>
    </w:p>
    <w:p w:rsidR="00E742A1" w:rsidRDefault="00E742A1" w:rsidP="00E742A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6) </w:t>
      </w:r>
      <w:r w:rsidRPr="00EB4E94">
        <w:rPr>
          <w:rFonts w:ascii="Times New Roman" w:hAnsi="Times New Roman" w:cs="Times New Roman"/>
          <w:color w:val="000000"/>
          <w:lang w:eastAsia="en-US"/>
        </w:rPr>
        <w:t>Упаковки лікарських засобів мають відповідати тим, що зареєстровані в Державному фармакологічному центрі МОЗ України, не повинні бути пошкоджені, розкриті, неукомплектовані чи недоукомплектовані, з обов’язковою наявністю інструкції щодо використання препарату українською мовою, затвердженої Державним фармакологічним центром МОЗ України.</w:t>
      </w:r>
    </w:p>
    <w:p w:rsidR="00E742A1" w:rsidRPr="00756259" w:rsidRDefault="00E742A1" w:rsidP="00E7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7) </w:t>
      </w:r>
      <w:r w:rsidRPr="00756259">
        <w:rPr>
          <w:rFonts w:ascii="Times New Roman" w:eastAsia="Times New Roman" w:hAnsi="Times New Roman" w:cs="Times New Roman"/>
          <w:color w:val="000000"/>
          <w:lang w:eastAsia="en-US"/>
        </w:rPr>
        <w:t>В пропозиції учасник надає  дійсну ліцензію (дозвіл) на виробництво зазначеного товару, або/та ліцензії на право здійснення роздрібної (оптової) торгівлі, якщо це передбачено законодавством України.</w:t>
      </w:r>
    </w:p>
    <w:p w:rsidR="00E742A1" w:rsidRDefault="00E742A1" w:rsidP="00E7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8) </w:t>
      </w:r>
      <w:r w:rsidRPr="00EB4E94">
        <w:rPr>
          <w:rFonts w:ascii="Times New Roman" w:eastAsia="Times New Roman" w:hAnsi="Times New Roman" w:cs="Times New Roman"/>
          <w:color w:val="000000"/>
          <w:lang w:eastAsia="en-US"/>
        </w:rPr>
        <w:t>Обсяги закупівлі послуг можуть бути зменшені залежно від фактичних потреб та реального фінансування видатків, розрахунки будуть проводитися за фактично отримані товари.</w:t>
      </w:r>
    </w:p>
    <w:p w:rsidR="00E742A1" w:rsidRDefault="00E742A1" w:rsidP="00E7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9) </w:t>
      </w:r>
      <w:r w:rsidRPr="00E860EE">
        <w:rPr>
          <w:rFonts w:ascii="Times New Roman" w:eastAsia="Times New Roman" w:hAnsi="Times New Roman" w:cs="Times New Roman"/>
          <w:color w:val="000000"/>
          <w:lang w:eastAsia="en-US"/>
        </w:rPr>
        <w:t>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:rsidR="00E742A1" w:rsidRPr="00E860EE" w:rsidRDefault="00E742A1" w:rsidP="00E742A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E742A1" w:rsidRPr="00E860EE" w:rsidRDefault="00E742A1" w:rsidP="00E742A1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E742A1" w:rsidRPr="004A0C20" w:rsidRDefault="00E742A1" w:rsidP="00E742A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US"/>
        </w:rPr>
      </w:pPr>
    </w:p>
    <w:p w:rsidR="00E742A1" w:rsidRPr="005F6662" w:rsidRDefault="00E742A1" w:rsidP="00E7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6662">
        <w:rPr>
          <w:rFonts w:ascii="Times New Roman" w:eastAsia="Times New Roman" w:hAnsi="Times New Roman" w:cs="Times New Roman"/>
          <w:b/>
          <w:bCs/>
          <w:sz w:val="20"/>
          <w:szCs w:val="20"/>
        </w:rPr>
        <w:t>Для підтвердження</w:t>
      </w:r>
      <w:r w:rsidRPr="005F6662">
        <w:rPr>
          <w:sz w:val="20"/>
          <w:szCs w:val="20"/>
        </w:rPr>
        <w:t xml:space="preserve"> </w:t>
      </w:r>
      <w:r w:rsidRPr="005F66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відповідності своєї пропозиції технічним, якісним, кількісним, функціональним характеристикам до предмета закупівлі, у тому числі технічній специфікації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(медико-технічним вимогам) </w:t>
      </w:r>
      <w:r w:rsidRPr="005F6662">
        <w:rPr>
          <w:rFonts w:ascii="Times New Roman" w:eastAsia="Times New Roman" w:hAnsi="Times New Roman" w:cs="Times New Roman"/>
          <w:b/>
          <w:bCs/>
          <w:sz w:val="20"/>
          <w:szCs w:val="20"/>
        </w:rPr>
        <w:t>та іншим вимогам до предмета закупівлі, що містяться в тендерній документації та цьому додатку, а також для підтвердження можливість поставки товару відповідно до вимог, визначених згідно з умовами тендерної документації Учасник подає у складі пропозиції інформацію зазначену у цьому додатку, завірену печаткою і власним підписом (</w:t>
      </w:r>
      <w:r w:rsidRPr="005F666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для учасників, які здійснюють діяльність без печатки згідно з чинним законодавством, вимагається лише підпис</w:t>
      </w:r>
      <w:r w:rsidRPr="005F6662">
        <w:rPr>
          <w:rFonts w:ascii="Times New Roman" w:eastAsia="Times New Roman" w:hAnsi="Times New Roman" w:cs="Times New Roman"/>
          <w:b/>
          <w:bCs/>
          <w:sz w:val="20"/>
          <w:szCs w:val="20"/>
        </w:rPr>
        <w:t>).</w:t>
      </w:r>
    </w:p>
    <w:p w:rsidR="00E742A1" w:rsidRPr="005F6662" w:rsidRDefault="00E742A1" w:rsidP="00E74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</w:pPr>
    </w:p>
    <w:p w:rsidR="00E742A1" w:rsidRDefault="00E742A1" w:rsidP="00E7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2A1" w:rsidRDefault="00E742A1" w:rsidP="00E742A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*Тендерна пропозиція, що не відповідає технічній частині, буде відхилена як така, що не відповідає умовам технічної специфікації та іншим вимогам щодо предмета закупівлі тендерної документації (п.п.2 пункту 41 Особливостей).</w:t>
      </w:r>
    </w:p>
    <w:p w:rsidR="00E742A1" w:rsidRPr="0024513A" w:rsidRDefault="00E742A1" w:rsidP="00E742A1">
      <w:pPr>
        <w:tabs>
          <w:tab w:val="left" w:pos="6071"/>
        </w:tabs>
        <w:spacing w:after="0" w:line="240" w:lineRule="auto"/>
        <w:textAlignment w:val="top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42A1" w:rsidRPr="0024513A" w:rsidRDefault="00E742A1" w:rsidP="00E742A1">
      <w:pPr>
        <w:tabs>
          <w:tab w:val="left" w:pos="6071"/>
        </w:tabs>
        <w:spacing w:after="0" w:line="240" w:lineRule="auto"/>
        <w:textAlignment w:val="top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42A1" w:rsidRPr="00E860EE" w:rsidRDefault="00E742A1" w:rsidP="00E742A1">
      <w:pPr>
        <w:tabs>
          <w:tab w:val="left" w:pos="6071"/>
        </w:tabs>
        <w:spacing w:after="0" w:line="240" w:lineRule="auto"/>
        <w:textAlignment w:val="top"/>
        <w:outlineLvl w:val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Уповноважена особа                                </w:t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___________ </w:t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     </w:t>
      </w:r>
      <w:r w:rsidRPr="00C1773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</w:t>
      </w:r>
      <w:r w:rsidRPr="00C1773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__________________</w:t>
      </w:r>
    </w:p>
    <w:p w:rsidR="00E742A1" w:rsidRPr="00C1773B" w:rsidRDefault="00E742A1" w:rsidP="00E742A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            (підпис)                  </w:t>
      </w:r>
      <w:r w:rsidRPr="00C177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C1773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>(ініціали та прізвище)</w:t>
      </w:r>
    </w:p>
    <w:p w:rsidR="00E742A1" w:rsidRPr="00C1773B" w:rsidRDefault="00E742A1" w:rsidP="00E742A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773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                                                                                                     М </w:t>
      </w:r>
      <w:r w:rsidRPr="00C1773B">
        <w:rPr>
          <w:rFonts w:ascii="Times New Roman" w:hAnsi="Times New Roman" w:cs="Times New Roman"/>
          <w:sz w:val="24"/>
          <w:szCs w:val="24"/>
          <w:lang w:eastAsia="en-US"/>
        </w:rPr>
        <w:t>П</w:t>
      </w:r>
    </w:p>
    <w:p w:rsidR="00E742A1" w:rsidRPr="00C1773B" w:rsidRDefault="00E742A1" w:rsidP="00E742A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42A1" w:rsidRPr="002D1B51" w:rsidRDefault="00E742A1" w:rsidP="00E742A1">
      <w:pPr>
        <w:spacing w:after="0" w:line="240" w:lineRule="auto"/>
        <w:jc w:val="center"/>
      </w:pPr>
    </w:p>
    <w:p w:rsidR="006D37E8" w:rsidRPr="002D1B51" w:rsidRDefault="006D37E8" w:rsidP="00C1773B">
      <w:pPr>
        <w:spacing w:after="0" w:line="240" w:lineRule="auto"/>
        <w:jc w:val="center"/>
      </w:pPr>
    </w:p>
    <w:sectPr w:rsidR="006D37E8" w:rsidRPr="002D1B51" w:rsidSect="00CC375C">
      <w:pgSz w:w="11906" w:h="16838"/>
      <w:pgMar w:top="425" w:right="851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92" w:rsidRDefault="005F1392">
      <w:pPr>
        <w:spacing w:line="240" w:lineRule="auto"/>
      </w:pPr>
      <w:r>
        <w:separator/>
      </w:r>
    </w:p>
  </w:endnote>
  <w:endnote w:type="continuationSeparator" w:id="0">
    <w:p w:rsidR="005F1392" w:rsidRDefault="005F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92" w:rsidRDefault="005F1392">
      <w:pPr>
        <w:spacing w:after="0"/>
      </w:pPr>
      <w:r>
        <w:separator/>
      </w:r>
    </w:p>
  </w:footnote>
  <w:footnote w:type="continuationSeparator" w:id="0">
    <w:p w:rsidR="005F1392" w:rsidRDefault="005F13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719E"/>
    <w:multiLevelType w:val="hybridMultilevel"/>
    <w:tmpl w:val="F6EC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699"/>
    <w:multiLevelType w:val="hybridMultilevel"/>
    <w:tmpl w:val="0F4A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4533"/>
    <w:multiLevelType w:val="multilevel"/>
    <w:tmpl w:val="CB622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A22B76"/>
    <w:multiLevelType w:val="hybridMultilevel"/>
    <w:tmpl w:val="17B4A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0F1"/>
    <w:multiLevelType w:val="hybridMultilevel"/>
    <w:tmpl w:val="ED9A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4894"/>
    <w:multiLevelType w:val="hybridMultilevel"/>
    <w:tmpl w:val="22FC9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8859C7"/>
    <w:multiLevelType w:val="hybridMultilevel"/>
    <w:tmpl w:val="DA16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43C2E"/>
    <w:multiLevelType w:val="hybridMultilevel"/>
    <w:tmpl w:val="4E3E108C"/>
    <w:lvl w:ilvl="0" w:tplc="3A54FE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B0351E"/>
    <w:multiLevelType w:val="hybridMultilevel"/>
    <w:tmpl w:val="1EBA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12225"/>
    <w:multiLevelType w:val="multilevel"/>
    <w:tmpl w:val="37C122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81C2E"/>
    <w:multiLevelType w:val="hybridMultilevel"/>
    <w:tmpl w:val="78AC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16AEF"/>
    <w:multiLevelType w:val="multilevel"/>
    <w:tmpl w:val="1CF43F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41F5B"/>
    <w:multiLevelType w:val="hybridMultilevel"/>
    <w:tmpl w:val="29F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66482"/>
    <w:multiLevelType w:val="hybridMultilevel"/>
    <w:tmpl w:val="6204AAF0"/>
    <w:lvl w:ilvl="0" w:tplc="E0A841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83531"/>
    <w:multiLevelType w:val="multilevel"/>
    <w:tmpl w:val="DC287DA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5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auto"/>
      </w:rPr>
    </w:lvl>
  </w:abstractNum>
  <w:abstractNum w:abstractNumId="15" w15:restartNumberingAfterBreak="0">
    <w:nsid w:val="52775A18"/>
    <w:multiLevelType w:val="hybridMultilevel"/>
    <w:tmpl w:val="93D4C61C"/>
    <w:lvl w:ilvl="0" w:tplc="D9808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54B8"/>
    <w:multiLevelType w:val="hybridMultilevel"/>
    <w:tmpl w:val="8AD818DA"/>
    <w:lvl w:ilvl="0" w:tplc="6A78D6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FA516FC"/>
    <w:multiLevelType w:val="hybridMultilevel"/>
    <w:tmpl w:val="66F8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573B7"/>
    <w:multiLevelType w:val="hybridMultilevel"/>
    <w:tmpl w:val="07B2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17A2"/>
    <w:multiLevelType w:val="hybridMultilevel"/>
    <w:tmpl w:val="9EAE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F435C"/>
    <w:multiLevelType w:val="hybridMultilevel"/>
    <w:tmpl w:val="2A86AD16"/>
    <w:lvl w:ilvl="0" w:tplc="FFFFFFFF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71AC12B2"/>
    <w:multiLevelType w:val="hybridMultilevel"/>
    <w:tmpl w:val="EF54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E292E"/>
    <w:multiLevelType w:val="hybridMultilevel"/>
    <w:tmpl w:val="E700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524BF"/>
    <w:multiLevelType w:val="hybridMultilevel"/>
    <w:tmpl w:val="B680C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18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22"/>
  </w:num>
  <w:num w:numId="11">
    <w:abstractNumId w:val="10"/>
  </w:num>
  <w:num w:numId="12">
    <w:abstractNumId w:val="21"/>
  </w:num>
  <w:num w:numId="13">
    <w:abstractNumId w:val="16"/>
  </w:num>
  <w:num w:numId="14">
    <w:abstractNumId w:val="4"/>
  </w:num>
  <w:num w:numId="15">
    <w:abstractNumId w:val="13"/>
  </w:num>
  <w:num w:numId="16">
    <w:abstractNumId w:val="17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48"/>
    <w:rsid w:val="001437C3"/>
    <w:rsid w:val="00151BEB"/>
    <w:rsid w:val="001A0BB6"/>
    <w:rsid w:val="001B11B3"/>
    <w:rsid w:val="001C7F4E"/>
    <w:rsid w:val="001F06E8"/>
    <w:rsid w:val="0020569C"/>
    <w:rsid w:val="00224DB2"/>
    <w:rsid w:val="002D1B51"/>
    <w:rsid w:val="00314EAE"/>
    <w:rsid w:val="003326B3"/>
    <w:rsid w:val="003815DF"/>
    <w:rsid w:val="003B6630"/>
    <w:rsid w:val="003F11BA"/>
    <w:rsid w:val="0041020C"/>
    <w:rsid w:val="004659B1"/>
    <w:rsid w:val="00474E1C"/>
    <w:rsid w:val="00490118"/>
    <w:rsid w:val="00536609"/>
    <w:rsid w:val="005740C7"/>
    <w:rsid w:val="005F1392"/>
    <w:rsid w:val="005F6662"/>
    <w:rsid w:val="00635000"/>
    <w:rsid w:val="00680F57"/>
    <w:rsid w:val="006A2B03"/>
    <w:rsid w:val="006C26EE"/>
    <w:rsid w:val="006C519E"/>
    <w:rsid w:val="006D37E8"/>
    <w:rsid w:val="00711A2A"/>
    <w:rsid w:val="00711CAF"/>
    <w:rsid w:val="007904DB"/>
    <w:rsid w:val="007D604D"/>
    <w:rsid w:val="007E287D"/>
    <w:rsid w:val="00844E15"/>
    <w:rsid w:val="008534FC"/>
    <w:rsid w:val="00854D48"/>
    <w:rsid w:val="00854EF0"/>
    <w:rsid w:val="008774E6"/>
    <w:rsid w:val="009412C3"/>
    <w:rsid w:val="0094145E"/>
    <w:rsid w:val="00953DCF"/>
    <w:rsid w:val="00986614"/>
    <w:rsid w:val="009D0A67"/>
    <w:rsid w:val="00A06037"/>
    <w:rsid w:val="00A21B0D"/>
    <w:rsid w:val="00A36FB7"/>
    <w:rsid w:val="00A46DCA"/>
    <w:rsid w:val="00A96ABC"/>
    <w:rsid w:val="00AE7244"/>
    <w:rsid w:val="00B57F38"/>
    <w:rsid w:val="00B856E8"/>
    <w:rsid w:val="00BB7D5E"/>
    <w:rsid w:val="00C1773B"/>
    <w:rsid w:val="00C35733"/>
    <w:rsid w:val="00C42BBC"/>
    <w:rsid w:val="00C43CBE"/>
    <w:rsid w:val="00C46CB0"/>
    <w:rsid w:val="00C744F6"/>
    <w:rsid w:val="00C90EFB"/>
    <w:rsid w:val="00CB057F"/>
    <w:rsid w:val="00CC1997"/>
    <w:rsid w:val="00CC375C"/>
    <w:rsid w:val="00CD023A"/>
    <w:rsid w:val="00CE0812"/>
    <w:rsid w:val="00D524C0"/>
    <w:rsid w:val="00D66902"/>
    <w:rsid w:val="00D831B2"/>
    <w:rsid w:val="00D831C1"/>
    <w:rsid w:val="00DA7090"/>
    <w:rsid w:val="00E00921"/>
    <w:rsid w:val="00E13271"/>
    <w:rsid w:val="00E742A1"/>
    <w:rsid w:val="00E860EE"/>
    <w:rsid w:val="00E97187"/>
    <w:rsid w:val="00EB4E94"/>
    <w:rsid w:val="00EC5810"/>
    <w:rsid w:val="00F14FED"/>
    <w:rsid w:val="00F21BD2"/>
    <w:rsid w:val="00F466CA"/>
    <w:rsid w:val="00F73905"/>
    <w:rsid w:val="00F9639B"/>
    <w:rsid w:val="00FA7805"/>
    <w:rsid w:val="283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326B"/>
  <w15:docId w15:val="{3008785A-F9AC-4CAC-A290-16A761A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table" w:customStyle="1" w:styleId="Style26">
    <w:name w:val="_Style 2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7">
    <w:name w:val="_Style 2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leNormal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"/>
    <w:qFormat/>
    <w:tblPr>
      <w:tblCellMar>
        <w:left w:w="108" w:type="dxa"/>
        <w:right w:w="108" w:type="dxa"/>
      </w:tblCellMar>
    </w:tblPr>
  </w:style>
  <w:style w:type="paragraph" w:customStyle="1" w:styleId="xfmc1">
    <w:name w:val="xfm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Без интервала Знак"/>
    <w:link w:val="af"/>
    <w:uiPriority w:val="1"/>
    <w:locked/>
    <w:rPr>
      <w:rFonts w:cs="Times New Roman"/>
      <w:lang w:eastAsia="ar-SA"/>
    </w:rPr>
  </w:style>
  <w:style w:type="paragraph" w:styleId="af">
    <w:name w:val="No Spacing"/>
    <w:link w:val="ae"/>
    <w:uiPriority w:val="1"/>
    <w:qFormat/>
    <w:pPr>
      <w:suppressAutoHyphens/>
    </w:pPr>
    <w:rPr>
      <w:rFonts w:cs="Times New Roman"/>
      <w:sz w:val="22"/>
      <w:szCs w:val="22"/>
      <w:lang w:val="uk-UA" w:eastAsia="ar-SA"/>
    </w:rPr>
  </w:style>
  <w:style w:type="character" w:customStyle="1" w:styleId="af0">
    <w:name w:val="Абзац списка Знак"/>
    <w:link w:val="af1"/>
    <w:uiPriority w:val="34"/>
    <w:qFormat/>
    <w:locked/>
    <w:rPr>
      <w:rFonts w:ascii="Times New Roman" w:eastAsiaTheme="minorEastAsia" w:hAnsi="Times New Roman" w:cs="Times New Roman"/>
    </w:rPr>
  </w:style>
  <w:style w:type="paragraph" w:styleId="af1">
    <w:name w:val="List Paragraph"/>
    <w:basedOn w:val="a"/>
    <w:link w:val="af0"/>
    <w:uiPriority w:val="34"/>
    <w:qFormat/>
    <w:pPr>
      <w:spacing w:after="0" w:line="256" w:lineRule="auto"/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zksumPiKonzkwpo0QB9WRKdBA==">AMUW2mXy1PG0Iy2+ClWkkkbKRVIlNE4C8ZQey0J6TA69vlxSOOeW+NQ3r/KFuFVvkFFmZmXojXDmc8wX26zue1Y26V5qjO0ztVuDhYDt4nYnlIHhp5fSe58=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5FF09E-D7DF-43DC-B92E-5FC3177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Admin</cp:lastModifiedBy>
  <cp:revision>12</cp:revision>
  <dcterms:created xsi:type="dcterms:W3CDTF">2022-08-17T14:44:00Z</dcterms:created>
  <dcterms:modified xsi:type="dcterms:W3CDTF">2023-03-16T17:05:00Z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6B13D11BBB7E4CBB95B296BDB01D3F47</vt:lpwstr>
  </property>
</Properties>
</file>