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86964" w14:textId="4260EA3A" w:rsidR="008C7BCC" w:rsidRPr="00DC2903" w:rsidRDefault="008C7BCC" w:rsidP="008C7BCC">
      <w:pPr>
        <w:spacing w:after="0" w:line="240" w:lineRule="auto"/>
        <w:jc w:val="right"/>
        <w:outlineLvl w:val="0"/>
        <w:rPr>
          <w:rFonts w:ascii="Times New Roman" w:eastAsia="Times New Roman" w:hAnsi="Times New Roman" w:cs="Times New Roman"/>
          <w:b/>
          <w:color w:val="auto"/>
          <w:sz w:val="24"/>
          <w:szCs w:val="24"/>
          <w:lang w:val="uk-UA" w:eastAsia="ru-RU"/>
        </w:rPr>
      </w:pPr>
      <w:r w:rsidRPr="00DC2903">
        <w:rPr>
          <w:rFonts w:ascii="Times New Roman" w:eastAsia="Times New Roman" w:hAnsi="Times New Roman" w:cs="Times New Roman"/>
          <w:b/>
          <w:color w:val="auto"/>
          <w:sz w:val="24"/>
          <w:szCs w:val="24"/>
          <w:lang w:val="uk-UA" w:eastAsia="ru-RU"/>
        </w:rPr>
        <w:t xml:space="preserve">Додаток </w:t>
      </w:r>
      <w:r w:rsidR="00734A44" w:rsidRPr="00DC2903">
        <w:rPr>
          <w:rFonts w:ascii="Times New Roman" w:eastAsia="Times New Roman" w:hAnsi="Times New Roman" w:cs="Times New Roman"/>
          <w:b/>
          <w:color w:val="auto"/>
          <w:sz w:val="24"/>
          <w:szCs w:val="24"/>
          <w:lang w:val="uk-UA" w:eastAsia="ru-RU"/>
        </w:rPr>
        <w:t>4</w:t>
      </w:r>
    </w:p>
    <w:p w14:paraId="76700E3E" w14:textId="7EDAF855" w:rsidR="008C7BCC" w:rsidRPr="008C7BCC" w:rsidRDefault="008C7BCC" w:rsidP="008C7BCC">
      <w:pPr>
        <w:spacing w:after="0" w:line="240" w:lineRule="auto"/>
        <w:jc w:val="right"/>
        <w:outlineLvl w:val="0"/>
        <w:rPr>
          <w:rFonts w:ascii="Times New Roman" w:eastAsia="Times New Roman" w:hAnsi="Times New Roman" w:cs="Times New Roman"/>
          <w:bCs/>
          <w:i/>
          <w:iCs/>
          <w:sz w:val="24"/>
          <w:szCs w:val="24"/>
          <w:lang w:val="uk-UA" w:eastAsia="ru-RU"/>
        </w:rPr>
      </w:pPr>
      <w:r w:rsidRPr="008C7BCC">
        <w:rPr>
          <w:rFonts w:ascii="Times New Roman" w:eastAsia="Times New Roman" w:hAnsi="Times New Roman" w:cs="Times New Roman"/>
          <w:bCs/>
          <w:i/>
          <w:iCs/>
          <w:sz w:val="24"/>
          <w:szCs w:val="24"/>
          <w:lang w:val="uk-UA" w:eastAsia="ru-RU"/>
        </w:rPr>
        <w:t>до тендерної документації</w:t>
      </w:r>
    </w:p>
    <w:p w14:paraId="1A9FE597" w14:textId="77777777" w:rsidR="008C7BCC" w:rsidRPr="008C7BCC" w:rsidRDefault="008C7BCC" w:rsidP="008C7BCC">
      <w:pPr>
        <w:spacing w:after="0" w:line="240" w:lineRule="auto"/>
        <w:ind w:left="567"/>
        <w:rPr>
          <w:rFonts w:ascii="Times New Roman" w:eastAsia="Times New Roman" w:hAnsi="Times New Roman" w:cs="Times New Roman"/>
          <w:bCs/>
          <w:i/>
          <w:iCs/>
          <w:lang w:val="uk-UA" w:eastAsia="x-none"/>
        </w:rPr>
      </w:pPr>
    </w:p>
    <w:p w14:paraId="0337978B" w14:textId="77777777" w:rsidR="008C7BCC" w:rsidRDefault="008C7BCC" w:rsidP="008C7BCC">
      <w:pPr>
        <w:ind w:right="4961"/>
        <w:rPr>
          <w:rFonts w:ascii="Times New Roman" w:hAnsi="Times New Roman" w:cs="Times New Roman"/>
          <w:i/>
          <w:iCs/>
          <w:lang w:val="uk-UA"/>
        </w:rPr>
      </w:pPr>
      <w:r>
        <w:rPr>
          <w:rFonts w:ascii="Times New Roman" w:hAnsi="Times New Roman" w:cs="Times New Roman"/>
          <w:i/>
          <w:iCs/>
          <w:lang w:val="uk-UA"/>
        </w:rPr>
        <w:t>Форма „Тендерна пропозиція” подається у вигляді, наведеному нижче.</w:t>
      </w:r>
    </w:p>
    <w:p w14:paraId="06BD6021" w14:textId="77777777" w:rsidR="008C7BCC" w:rsidRDefault="008C7BCC" w:rsidP="008C7BCC">
      <w:pPr>
        <w:suppressAutoHyphens/>
        <w:ind w:right="4961"/>
        <w:rPr>
          <w:rFonts w:ascii="Times New Roman" w:hAnsi="Times New Roman" w:cs="Times New Roman"/>
          <w:lang w:val="uk-UA" w:eastAsia="zh-CN"/>
        </w:rPr>
      </w:pPr>
      <w:r>
        <w:rPr>
          <w:rFonts w:ascii="Times New Roman" w:hAnsi="Times New Roman" w:cs="Times New Roman"/>
          <w:i/>
          <w:iCs/>
          <w:lang w:val="uk-UA"/>
        </w:rPr>
        <w:t xml:space="preserve">Учасник не повинен відступати від даної форми та заповнює всі необхідні графи </w:t>
      </w:r>
    </w:p>
    <w:p w14:paraId="2A1D810C" w14:textId="77777777" w:rsidR="008C7BCC" w:rsidRDefault="008C7BCC" w:rsidP="008C7BCC">
      <w:pPr>
        <w:suppressAutoHyphens/>
        <w:jc w:val="center"/>
        <w:rPr>
          <w:rFonts w:ascii="Times New Roman" w:hAnsi="Times New Roman" w:cs="Times New Roman"/>
          <w:b/>
          <w:bCs/>
          <w:lang w:val="uk-UA" w:eastAsia="zh-CN"/>
        </w:rPr>
      </w:pPr>
      <w:r>
        <w:rPr>
          <w:rFonts w:ascii="Times New Roman" w:hAnsi="Times New Roman" w:cs="Times New Roman"/>
          <w:b/>
          <w:bCs/>
          <w:lang w:val="uk-UA" w:eastAsia="zh-CN"/>
        </w:rPr>
        <w:t xml:space="preserve">ТЕНДЕРНА ПРОПОЗИЦІЯ </w:t>
      </w:r>
    </w:p>
    <w:p w14:paraId="48EC7687" w14:textId="77777777" w:rsidR="008C7BCC" w:rsidRDefault="008C7BCC" w:rsidP="008C7BCC">
      <w:pPr>
        <w:suppressAutoHyphens/>
        <w:jc w:val="center"/>
        <w:rPr>
          <w:rFonts w:ascii="Times New Roman" w:hAnsi="Times New Roman" w:cs="Times New Roman"/>
          <w:lang w:val="uk-UA" w:eastAsia="zh-CN"/>
        </w:rPr>
      </w:pPr>
      <w:r>
        <w:rPr>
          <w:rFonts w:ascii="Times New Roman" w:hAnsi="Times New Roman" w:cs="Times New Roman"/>
          <w:lang w:val="uk-UA" w:eastAsia="zh-CN"/>
        </w:rPr>
        <w:t>(форма, яка подається Учасником на фірмовому бланку, у разі наявності )</w:t>
      </w:r>
    </w:p>
    <w:p w14:paraId="328BE715" w14:textId="1ED3AF0F" w:rsidR="008C7BCC" w:rsidRPr="00E57765" w:rsidRDefault="008C7BCC" w:rsidP="00734A44">
      <w:pPr>
        <w:spacing w:after="0" w:line="240" w:lineRule="auto"/>
        <w:ind w:left="142"/>
        <w:jc w:val="both"/>
        <w:rPr>
          <w:sz w:val="24"/>
          <w:szCs w:val="24"/>
          <w:lang w:val="uk-UA"/>
        </w:rPr>
      </w:pPr>
      <w:r>
        <w:rPr>
          <w:rFonts w:ascii="Times New Roman" w:hAnsi="Times New Roman" w:cs="Times New Roman"/>
          <w:lang w:val="uk-UA" w:eastAsia="zh-CN"/>
        </w:rPr>
        <w:tab/>
      </w:r>
      <w:r w:rsidRPr="00E57765">
        <w:rPr>
          <w:rFonts w:ascii="Times New Roman" w:hAnsi="Times New Roman" w:cs="Times New Roman"/>
          <w:sz w:val="24"/>
          <w:szCs w:val="24"/>
          <w:lang w:val="uk-UA" w:eastAsia="zh-CN"/>
        </w:rPr>
        <w:t>Ми, (назва Учасника), надаємо свою тендерну пропозицію щодо участі у торгах на закупівлю</w:t>
      </w:r>
      <w:r w:rsidR="00734A44">
        <w:rPr>
          <w:rFonts w:ascii="Times New Roman" w:hAnsi="Times New Roman" w:cs="Times New Roman"/>
          <w:sz w:val="24"/>
          <w:szCs w:val="24"/>
          <w:lang w:val="uk-UA" w:eastAsia="zh-CN"/>
        </w:rPr>
        <w:t xml:space="preserve"> </w:t>
      </w:r>
      <w:r w:rsidR="009A4258">
        <w:rPr>
          <w:rFonts w:ascii="Times New Roman" w:eastAsia="Calibri" w:hAnsi="Times New Roman" w:cs="Times New Roman"/>
          <w:iCs/>
          <w:color w:val="000000"/>
          <w:sz w:val="24"/>
          <w:szCs w:val="24"/>
          <w:lang w:val="uk-UA"/>
        </w:rPr>
        <w:t>послуг</w:t>
      </w:r>
      <w:bookmarkStart w:id="0" w:name="_GoBack"/>
      <w:bookmarkEnd w:id="0"/>
      <w:r w:rsidR="00A37CCE" w:rsidRPr="00A37CCE">
        <w:rPr>
          <w:rFonts w:ascii="Times New Roman" w:eastAsia="Calibri" w:hAnsi="Times New Roman" w:cs="Times New Roman"/>
          <w:iCs/>
          <w:color w:val="000000"/>
          <w:sz w:val="24"/>
          <w:szCs w:val="24"/>
          <w:lang w:val="uk-UA"/>
        </w:rPr>
        <w:t xml:space="preserve">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r w:rsidR="009A4258" w:rsidRPr="009A4258">
        <w:rPr>
          <w:rFonts w:ascii="Times New Roman" w:eastAsia="Calibri" w:hAnsi="Times New Roman" w:cs="Times New Roman"/>
          <w:iCs/>
          <w:color w:val="000000"/>
          <w:sz w:val="24"/>
          <w:szCs w:val="24"/>
          <w:lang w:val="uk-UA"/>
        </w:rPr>
        <w:t xml:space="preserve"> код за національним класифікатором України ДК 021:2015 92220000-9 «Телевізійні послуги»</w:t>
      </w:r>
      <w:r w:rsidR="00734A44" w:rsidRPr="00C303E3">
        <w:rPr>
          <w:rFonts w:ascii="Times New Roman" w:eastAsia="Times New Roman" w:hAnsi="Times New Roman" w:cs="Times New Roman"/>
          <w:iCs/>
          <w:sz w:val="24"/>
          <w:szCs w:val="24"/>
          <w:lang w:val="uk-UA" w:eastAsia="ru-RU"/>
        </w:rPr>
        <w:t xml:space="preserve"> </w:t>
      </w:r>
      <w:r w:rsidRPr="00E57765">
        <w:rPr>
          <w:rFonts w:ascii="Times New Roman" w:hAnsi="Times New Roman" w:cs="Times New Roman"/>
          <w:sz w:val="24"/>
          <w:szCs w:val="24"/>
          <w:lang w:val="uk-UA" w:eastAsia="zh-CN"/>
        </w:rPr>
        <w:t xml:space="preserve"> згідно із технічними та іншими вимогами Замовника торгів.</w:t>
      </w:r>
    </w:p>
    <w:p w14:paraId="3C2CDE1B" w14:textId="77777777" w:rsidR="008C7BCC" w:rsidRPr="00E57765" w:rsidRDefault="008C7BCC" w:rsidP="008C7BCC">
      <w:pPr>
        <w:suppressAutoHyphens/>
        <w:ind w:firstLine="708"/>
        <w:jc w:val="both"/>
        <w:rPr>
          <w:rFonts w:ascii="Times New Roman" w:hAnsi="Times New Roman" w:cs="Times New Roman"/>
          <w:sz w:val="24"/>
          <w:szCs w:val="24"/>
          <w:lang w:val="uk-UA" w:eastAsia="zh-CN"/>
        </w:rPr>
      </w:pPr>
      <w:r w:rsidRPr="00E57765">
        <w:rPr>
          <w:rFonts w:ascii="Times New Roman" w:hAnsi="Times New Roman" w:cs="Times New Roman"/>
          <w:sz w:val="24"/>
          <w:szCs w:val="24"/>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tbl>
      <w:tblPr>
        <w:tblW w:w="9490" w:type="dxa"/>
        <w:tblBorders>
          <w:top w:val="single" w:sz="6" w:space="0" w:color="00000A"/>
          <w:left w:val="single" w:sz="6" w:space="0" w:color="00000A"/>
          <w:bottom w:val="single" w:sz="6" w:space="0" w:color="00000A"/>
          <w:right w:val="single" w:sz="4" w:space="0" w:color="00000A"/>
          <w:insideH w:val="single" w:sz="6" w:space="0" w:color="00000A"/>
          <w:insideV w:val="single" w:sz="4" w:space="0" w:color="00000A"/>
        </w:tblBorders>
        <w:tblLayout w:type="fixed"/>
        <w:tblCellMar>
          <w:left w:w="89" w:type="dxa"/>
        </w:tblCellMar>
        <w:tblLook w:val="04A0" w:firstRow="1" w:lastRow="0" w:firstColumn="1" w:lastColumn="0" w:noHBand="0" w:noVBand="1"/>
      </w:tblPr>
      <w:tblGrid>
        <w:gridCol w:w="585"/>
        <w:gridCol w:w="2763"/>
        <w:gridCol w:w="1263"/>
        <w:gridCol w:w="1193"/>
        <w:gridCol w:w="1134"/>
        <w:gridCol w:w="1134"/>
        <w:gridCol w:w="1418"/>
      </w:tblGrid>
      <w:tr w:rsidR="008C7BCC" w14:paraId="0C2789BD" w14:textId="77777777" w:rsidTr="009A4258">
        <w:tc>
          <w:tcPr>
            <w:tcW w:w="585" w:type="dxa"/>
            <w:tcBorders>
              <w:top w:val="single" w:sz="6" w:space="0" w:color="00000A"/>
              <w:left w:val="single" w:sz="6" w:space="0" w:color="00000A"/>
              <w:bottom w:val="single" w:sz="6" w:space="0" w:color="00000A"/>
              <w:right w:val="single" w:sz="4" w:space="0" w:color="00000A"/>
            </w:tcBorders>
            <w:shd w:val="clear" w:color="auto" w:fill="auto"/>
            <w:tcMar>
              <w:left w:w="89" w:type="dxa"/>
            </w:tcMar>
          </w:tcPr>
          <w:p w14:paraId="2051849B" w14:textId="77777777" w:rsidR="008C7BCC" w:rsidRDefault="008C7BCC" w:rsidP="00B33CFC">
            <w:pPr>
              <w:jc w:val="center"/>
              <w:rPr>
                <w:rFonts w:ascii="Times New Roman" w:hAnsi="Times New Roman" w:cs="Times New Roman"/>
                <w:b/>
                <w:bCs/>
                <w:i/>
                <w:lang w:val="uk-UA" w:eastAsia="ru-RU"/>
              </w:rPr>
            </w:pPr>
            <w:r>
              <w:rPr>
                <w:rFonts w:ascii="Times New Roman" w:hAnsi="Times New Roman" w:cs="Times New Roman"/>
                <w:b/>
                <w:bCs/>
                <w:i/>
                <w:lang w:val="uk-UA"/>
              </w:rPr>
              <w:t>№ п/п</w:t>
            </w:r>
          </w:p>
        </w:tc>
        <w:tc>
          <w:tcPr>
            <w:tcW w:w="2763" w:type="dxa"/>
            <w:tcBorders>
              <w:top w:val="single" w:sz="6" w:space="0" w:color="00000A"/>
              <w:left w:val="single" w:sz="4" w:space="0" w:color="00000A"/>
              <w:bottom w:val="single" w:sz="6" w:space="0" w:color="00000A"/>
              <w:right w:val="single" w:sz="6" w:space="0" w:color="00000A"/>
            </w:tcBorders>
            <w:shd w:val="clear" w:color="auto" w:fill="auto"/>
            <w:tcMar>
              <w:left w:w="98" w:type="dxa"/>
            </w:tcMar>
          </w:tcPr>
          <w:p w14:paraId="7258FD21" w14:textId="77777777" w:rsidR="008C7BCC" w:rsidRDefault="008C7BCC" w:rsidP="00B33CFC">
            <w:pPr>
              <w:ind w:left="252"/>
              <w:jc w:val="center"/>
              <w:rPr>
                <w:rFonts w:ascii="Times New Roman" w:hAnsi="Times New Roman" w:cs="Times New Roman"/>
                <w:b/>
                <w:bCs/>
                <w:i/>
                <w:lang w:val="uk-UA"/>
              </w:rPr>
            </w:pPr>
            <w:r>
              <w:rPr>
                <w:rFonts w:ascii="Times New Roman" w:hAnsi="Times New Roman" w:cs="Times New Roman"/>
                <w:b/>
                <w:bCs/>
                <w:i/>
                <w:lang w:val="uk-UA"/>
              </w:rPr>
              <w:t>Найменування послуг</w:t>
            </w:r>
          </w:p>
        </w:tc>
        <w:tc>
          <w:tcPr>
            <w:tcW w:w="1263"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5AF3DE7C"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Одиниці виміру</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58AB32DB"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Кількість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3ACAE668"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Ціна за одиницю,</w:t>
            </w:r>
          </w:p>
          <w:p w14:paraId="14F5FE5F"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грн., без ПДВ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3C2C4D24"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Ціна за одиницю, грн., з ПДВ*</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0A9834A0"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Загальна вартість, грн., з ПДВ*</w:t>
            </w:r>
          </w:p>
        </w:tc>
      </w:tr>
      <w:tr w:rsidR="008C7BCC" w:rsidRPr="004A102B" w14:paraId="35732C70" w14:textId="77777777" w:rsidTr="009A4258">
        <w:tc>
          <w:tcPr>
            <w:tcW w:w="585" w:type="dxa"/>
            <w:tcBorders>
              <w:top w:val="single" w:sz="6" w:space="0" w:color="00000A"/>
              <w:left w:val="single" w:sz="6" w:space="0" w:color="00000A"/>
              <w:bottom w:val="single" w:sz="6" w:space="0" w:color="00000A"/>
              <w:right w:val="single" w:sz="4" w:space="0" w:color="00000A"/>
            </w:tcBorders>
            <w:shd w:val="clear" w:color="auto" w:fill="auto"/>
            <w:tcMar>
              <w:left w:w="89" w:type="dxa"/>
            </w:tcMar>
          </w:tcPr>
          <w:p w14:paraId="63DBC032" w14:textId="77777777" w:rsidR="008C7BCC" w:rsidRDefault="008C7BCC" w:rsidP="00B33CFC">
            <w:pPr>
              <w:jc w:val="center"/>
              <w:rPr>
                <w:rFonts w:ascii="Times New Roman" w:hAnsi="Times New Roman" w:cs="Times New Roman"/>
                <w:b/>
                <w:bCs/>
                <w:i/>
                <w:lang w:val="uk-UA"/>
              </w:rPr>
            </w:pPr>
          </w:p>
        </w:tc>
        <w:tc>
          <w:tcPr>
            <w:tcW w:w="2763" w:type="dxa"/>
            <w:tcBorders>
              <w:top w:val="single" w:sz="6" w:space="0" w:color="00000A"/>
              <w:left w:val="single" w:sz="4" w:space="0" w:color="00000A"/>
              <w:bottom w:val="single" w:sz="6" w:space="0" w:color="00000A"/>
              <w:right w:val="single" w:sz="6" w:space="0" w:color="00000A"/>
            </w:tcBorders>
            <w:shd w:val="clear" w:color="auto" w:fill="auto"/>
            <w:tcMar>
              <w:left w:w="98" w:type="dxa"/>
            </w:tcMar>
          </w:tcPr>
          <w:p w14:paraId="00692246" w14:textId="5E7DD6FD" w:rsidR="008C7BCC" w:rsidRPr="006D5210" w:rsidRDefault="00A37CCE" w:rsidP="00B33CFC">
            <w:pPr>
              <w:ind w:left="252"/>
              <w:jc w:val="both"/>
              <w:rPr>
                <w:lang w:val="uk-UA"/>
              </w:rPr>
            </w:pPr>
            <w:bookmarkStart w:id="1" w:name="__UnoMark__4427_1925644629"/>
            <w:bookmarkEnd w:id="1"/>
            <w:r w:rsidRPr="00A37CCE">
              <w:rPr>
                <w:rFonts w:ascii="Times New Roman" w:eastAsia="Calibri" w:hAnsi="Times New Roman" w:cs="Times New Roman"/>
                <w:iCs/>
                <w:color w:val="000000"/>
                <w:sz w:val="20"/>
                <w:szCs w:val="20"/>
                <w:lang w:val="uk-UA"/>
              </w:rPr>
              <w:t>Послуга з виготовлення та трансляції програм про діяльність Червоноградської міської ради на телебаченні, організації та трансляції прямих ефірів з депутатами та посадовими особами Червоноградської міської ради</w:t>
            </w:r>
            <w:r>
              <w:rPr>
                <w:rFonts w:ascii="Times New Roman" w:eastAsia="Calibri" w:hAnsi="Times New Roman" w:cs="Times New Roman"/>
                <w:iCs/>
                <w:color w:val="000000"/>
                <w:sz w:val="20"/>
                <w:szCs w:val="20"/>
                <w:lang w:val="uk-UA"/>
              </w:rPr>
              <w:t xml:space="preserve">, </w:t>
            </w:r>
            <w:r w:rsidR="009A4258" w:rsidRPr="009A4258">
              <w:rPr>
                <w:rFonts w:ascii="Times New Roman" w:eastAsia="Calibri" w:hAnsi="Times New Roman" w:cs="Times New Roman"/>
                <w:iCs/>
                <w:color w:val="000000"/>
                <w:sz w:val="20"/>
                <w:szCs w:val="20"/>
                <w:lang w:val="uk-UA"/>
              </w:rPr>
              <w:t>код за національним класифікатором України ДК 021:2015 92220000-9 «Телевізійні послуги»</w:t>
            </w:r>
          </w:p>
        </w:tc>
        <w:tc>
          <w:tcPr>
            <w:tcW w:w="1263"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5C547E51" w14:textId="77777777" w:rsidR="008C7BCC" w:rsidRDefault="008C7BCC" w:rsidP="00B33CFC">
            <w:pPr>
              <w:jc w:val="center"/>
              <w:rPr>
                <w:rFonts w:ascii="Times New Roman" w:hAnsi="Times New Roman" w:cs="Times New Roman"/>
                <w:b/>
                <w:bCs/>
                <w:i/>
                <w:lang w:val="uk-UA"/>
              </w:rPr>
            </w:pPr>
            <w:r>
              <w:rPr>
                <w:rFonts w:ascii="Times New Roman" w:hAnsi="Times New Roman" w:cs="Times New Roman"/>
                <w:b/>
                <w:bCs/>
                <w:i/>
                <w:lang w:val="uk-UA"/>
              </w:rPr>
              <w:t>хвилин</w:t>
            </w:r>
          </w:p>
        </w:tc>
        <w:tc>
          <w:tcPr>
            <w:tcW w:w="1193"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307ECDAF" w14:textId="0A7FDA74" w:rsidR="008C7BCC" w:rsidRDefault="009A4258" w:rsidP="00B33CFC">
            <w:pPr>
              <w:jc w:val="center"/>
              <w:rPr>
                <w:rFonts w:ascii="Times New Roman" w:hAnsi="Times New Roman" w:cs="Times New Roman"/>
                <w:b/>
                <w:bCs/>
                <w:i/>
                <w:lang w:val="uk-UA"/>
              </w:rPr>
            </w:pPr>
            <w:r>
              <w:rPr>
                <w:rFonts w:ascii="Times New Roman" w:hAnsi="Times New Roman" w:cs="Times New Roman"/>
                <w:b/>
                <w:bCs/>
                <w:i/>
                <w:color w:val="auto"/>
                <w:lang w:val="uk-UA"/>
              </w:rPr>
              <w:t>900</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0BA575CA" w14:textId="77777777" w:rsidR="008C7BCC" w:rsidRDefault="008C7BCC" w:rsidP="00B33CFC">
            <w:pPr>
              <w:jc w:val="center"/>
              <w:rPr>
                <w:rFonts w:ascii="Times New Roman" w:hAnsi="Times New Roman" w:cs="Times New Roman"/>
                <w:b/>
                <w:bCs/>
                <w:i/>
                <w:lang w:val="uk-UA"/>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65A4773C" w14:textId="77777777" w:rsidR="008C7BCC" w:rsidRDefault="008C7BCC" w:rsidP="00B33CFC">
            <w:pPr>
              <w:jc w:val="center"/>
              <w:rPr>
                <w:rFonts w:ascii="Times New Roman" w:hAnsi="Times New Roman" w:cs="Times New Roman"/>
                <w:b/>
                <w:bCs/>
                <w:i/>
                <w:lang w:val="uk-UA"/>
              </w:rPr>
            </w:pP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717F231E" w14:textId="77777777" w:rsidR="008C7BCC" w:rsidRDefault="008C7BCC" w:rsidP="00B33CFC">
            <w:pPr>
              <w:jc w:val="center"/>
              <w:rPr>
                <w:rFonts w:ascii="Times New Roman" w:hAnsi="Times New Roman" w:cs="Times New Roman"/>
                <w:b/>
                <w:bCs/>
                <w:i/>
                <w:lang w:val="uk-UA"/>
              </w:rPr>
            </w:pPr>
          </w:p>
        </w:tc>
      </w:tr>
      <w:tr w:rsidR="008C7BCC" w14:paraId="0DF409BC" w14:textId="77777777" w:rsidTr="009A4258">
        <w:tc>
          <w:tcPr>
            <w:tcW w:w="8072" w:type="dxa"/>
            <w:gridSpan w:val="6"/>
            <w:tcBorders>
              <w:top w:val="single" w:sz="6" w:space="0" w:color="00000A"/>
              <w:left w:val="single" w:sz="6" w:space="0" w:color="00000A"/>
              <w:bottom w:val="single" w:sz="6" w:space="0" w:color="00000A"/>
              <w:right w:val="single" w:sz="6" w:space="0" w:color="00000A"/>
            </w:tcBorders>
            <w:shd w:val="clear" w:color="auto" w:fill="auto"/>
            <w:tcMar>
              <w:left w:w="89" w:type="dxa"/>
            </w:tcMar>
          </w:tcPr>
          <w:p w14:paraId="1E7C85F4" w14:textId="77777777" w:rsidR="008C7BCC" w:rsidRDefault="008C7BCC" w:rsidP="00B33CFC">
            <w:pPr>
              <w:rPr>
                <w:rFonts w:ascii="Times New Roman" w:hAnsi="Times New Roman" w:cs="Times New Roman"/>
                <w:b/>
                <w:bCs/>
                <w:lang w:val="uk-UA"/>
              </w:rPr>
            </w:pPr>
            <w:r>
              <w:rPr>
                <w:rFonts w:ascii="Times New Roman" w:hAnsi="Times New Roman" w:cs="Times New Roman"/>
                <w:b/>
                <w:bCs/>
                <w:lang w:val="uk-UA"/>
              </w:rPr>
              <w:t>Вартість пропозиції                                                                                                                                        Σ __________________________________грн (зазначається з ПДВ або без ПДВ*)</w:t>
            </w:r>
          </w:p>
          <w:p w14:paraId="2A2B9D23" w14:textId="77777777" w:rsidR="008C7BCC" w:rsidRDefault="008C7BCC" w:rsidP="00B33CFC">
            <w:pPr>
              <w:rPr>
                <w:rFonts w:ascii="Times New Roman" w:hAnsi="Times New Roman" w:cs="Times New Roman"/>
                <w:b/>
                <w:bCs/>
                <w:i/>
                <w:lang w:val="uk-UA"/>
              </w:rPr>
            </w:pPr>
            <w:r>
              <w:rPr>
                <w:rFonts w:ascii="Times New Roman" w:hAnsi="Times New Roman" w:cs="Times New Roman"/>
                <w:b/>
                <w:bCs/>
                <w:lang w:val="uk-UA"/>
              </w:rPr>
              <w:t xml:space="preserve">                         </w:t>
            </w:r>
            <w:r>
              <w:rPr>
                <w:rFonts w:ascii="Times New Roman" w:hAnsi="Times New Roman" w:cs="Times New Roman"/>
                <w:bCs/>
                <w:i/>
                <w:lang w:val="uk-UA"/>
              </w:rPr>
              <w:t>(Цифрами та словами)</w:t>
            </w:r>
          </w:p>
        </w:tc>
        <w:tc>
          <w:tcPr>
            <w:tcW w:w="1418" w:type="dxa"/>
            <w:tcBorders>
              <w:top w:val="single" w:sz="6" w:space="0" w:color="00000A"/>
              <w:left w:val="single" w:sz="6" w:space="0" w:color="00000A"/>
              <w:bottom w:val="single" w:sz="4" w:space="0" w:color="00000A"/>
              <w:right w:val="single" w:sz="6" w:space="0" w:color="00000A"/>
            </w:tcBorders>
            <w:shd w:val="clear" w:color="auto" w:fill="auto"/>
            <w:tcMar>
              <w:left w:w="89" w:type="dxa"/>
            </w:tcMar>
          </w:tcPr>
          <w:p w14:paraId="663803BB" w14:textId="77777777" w:rsidR="008C7BCC" w:rsidRDefault="008C7BCC" w:rsidP="00B33CFC">
            <w:pPr>
              <w:jc w:val="center"/>
              <w:rPr>
                <w:rFonts w:ascii="Times New Roman" w:hAnsi="Times New Roman" w:cs="Times New Roman"/>
                <w:b/>
                <w:bCs/>
                <w:i/>
                <w:lang w:val="uk-UA"/>
              </w:rPr>
            </w:pPr>
          </w:p>
        </w:tc>
      </w:tr>
    </w:tbl>
    <w:p w14:paraId="66261AE1" w14:textId="77777777" w:rsidR="008C7BCC" w:rsidRDefault="008C7BCC" w:rsidP="008C7BCC">
      <w:pPr>
        <w:tabs>
          <w:tab w:val="left" w:pos="0"/>
          <w:tab w:val="center" w:pos="4153"/>
          <w:tab w:val="right" w:pos="8306"/>
        </w:tabs>
        <w:jc w:val="both"/>
        <w:rPr>
          <w:rFonts w:ascii="Times New Roman" w:eastAsia="Times New Roman" w:hAnsi="Times New Roman" w:cs="Times New Roman"/>
          <w:lang w:val="uk-UA"/>
        </w:rPr>
      </w:pPr>
    </w:p>
    <w:p w14:paraId="5EE222AC" w14:textId="77777777" w:rsidR="008C7BCC" w:rsidRDefault="008C7BCC" w:rsidP="008C7BCC">
      <w:pPr>
        <w:suppressAutoHyphens/>
        <w:ind w:firstLine="540"/>
        <w:jc w:val="both"/>
        <w:rPr>
          <w:rFonts w:ascii="Times New Roman" w:eastAsia="Calibri" w:hAnsi="Times New Roman" w:cs="Times New Roman"/>
          <w:lang w:val="uk-UA" w:eastAsia="ar-SA"/>
        </w:rPr>
      </w:pPr>
      <w:r>
        <w:rPr>
          <w:rFonts w:ascii="Times New Roman" w:eastAsia="Calibri" w:hAnsi="Times New Roman" w:cs="Times New Roman"/>
          <w:lang w:val="uk-UA" w:eastAsia="ar-SA"/>
        </w:rPr>
        <w:t>Ціна вказуються  з урахуванням податків і зборів, що сплачуються або мають бути сплачені</w:t>
      </w:r>
      <w:r>
        <w:rPr>
          <w:rFonts w:ascii="Times New Roman" w:hAnsi="Times New Roman" w:cs="Times New Roman"/>
          <w:lang w:val="uk-UA"/>
        </w:rPr>
        <w:t>.</w:t>
      </w:r>
    </w:p>
    <w:p w14:paraId="245900C5" w14:textId="5A8DF96A" w:rsidR="008C7BCC" w:rsidRDefault="008C7BCC" w:rsidP="008C7BCC">
      <w:pPr>
        <w:suppressAutoHyphens/>
        <w:spacing w:before="60"/>
        <w:ind w:firstLine="540"/>
        <w:jc w:val="both"/>
        <w:rPr>
          <w:rFonts w:ascii="Times New Roman" w:eastAsia="Times New Roman" w:hAnsi="Times New Roman" w:cs="Times New Roman"/>
          <w:lang w:val="uk-UA" w:eastAsia="zh-CN"/>
        </w:rPr>
      </w:pPr>
      <w:r>
        <w:rPr>
          <w:rFonts w:ascii="Times New Roman" w:hAnsi="Times New Roman" w:cs="Times New Roman"/>
          <w:iCs/>
          <w:lang w:val="uk-UA" w:eastAsia="zh-CN"/>
        </w:rPr>
        <w:t xml:space="preserve">Ми зобов’язуємося дотримуватись положень цієї </w:t>
      </w:r>
      <w:r>
        <w:rPr>
          <w:rFonts w:ascii="Times New Roman" w:hAnsi="Times New Roman" w:cs="Times New Roman"/>
          <w:lang w:val="uk-UA" w:eastAsia="zh-CN"/>
        </w:rPr>
        <w:t xml:space="preserve">тендерної </w:t>
      </w:r>
      <w:r>
        <w:rPr>
          <w:rFonts w:ascii="Times New Roman" w:hAnsi="Times New Roman" w:cs="Times New Roman"/>
          <w:iCs/>
          <w:lang w:val="uk-UA" w:eastAsia="zh-CN"/>
        </w:rPr>
        <w:t xml:space="preserve">пропозиції </w:t>
      </w:r>
      <w:r>
        <w:rPr>
          <w:rFonts w:ascii="Times New Roman" w:hAnsi="Times New Roman" w:cs="Times New Roman"/>
          <w:color w:val="000000"/>
          <w:lang w:val="uk-UA"/>
        </w:rPr>
        <w:t xml:space="preserve">протягом </w:t>
      </w:r>
      <w:r w:rsidR="00372458">
        <w:rPr>
          <w:rFonts w:ascii="Times New Roman" w:hAnsi="Times New Roman" w:cs="Times New Roman"/>
          <w:color w:val="000000"/>
          <w:lang w:val="uk-UA"/>
        </w:rPr>
        <w:t>120</w:t>
      </w:r>
      <w:r>
        <w:rPr>
          <w:rFonts w:ascii="Times New Roman" w:hAnsi="Times New Roman" w:cs="Times New Roman"/>
          <w:color w:val="000000"/>
          <w:lang w:val="uk-UA"/>
        </w:rPr>
        <w:t xml:space="preserve"> днів із дати кінцевого строку подання тендерних пропозицій.</w:t>
      </w:r>
    </w:p>
    <w:p w14:paraId="057F48B5" w14:textId="77777777" w:rsidR="008C7BCC" w:rsidRDefault="008C7BCC" w:rsidP="008C7BCC">
      <w:pPr>
        <w:suppressAutoHyphens/>
        <w:spacing w:before="60"/>
        <w:ind w:firstLine="540"/>
        <w:jc w:val="both"/>
        <w:rPr>
          <w:rFonts w:ascii="Times New Roman" w:hAnsi="Times New Roman" w:cs="Times New Roman"/>
          <w:lang w:val="uk-UA" w:eastAsia="zh-CN"/>
        </w:rPr>
      </w:pPr>
      <w:r>
        <w:rPr>
          <w:rFonts w:ascii="Times New Roman" w:hAnsi="Times New Roman" w:cs="Times New Roman"/>
          <w:iCs/>
          <w:lang w:val="uk-UA" w:eastAsia="zh-CN"/>
        </w:rPr>
        <w:lastRenderedPageBreak/>
        <w:t xml:space="preserve">Ми погоджуємося з умовами, що ви можете відхилити нашу чи всі </w:t>
      </w:r>
      <w:r>
        <w:rPr>
          <w:rFonts w:ascii="Times New Roman" w:hAnsi="Times New Roman" w:cs="Times New Roman"/>
          <w:lang w:val="uk-UA" w:eastAsia="zh-CN"/>
        </w:rPr>
        <w:t>тендерні</w:t>
      </w:r>
      <w:r>
        <w:rPr>
          <w:rFonts w:ascii="Times New Roman" w:hAnsi="Times New Roman" w:cs="Times New Roman"/>
          <w:iCs/>
          <w:lang w:val="uk-UA" w:eastAsia="zh-CN"/>
        </w:rPr>
        <w:t xml:space="preserve"> пропозиції та розуміємо, що ви не обмежені у прийнятті будь-якої іншої пропозиції з більш вигідними для вас умовами.</w:t>
      </w:r>
    </w:p>
    <w:p w14:paraId="7F14F1A3" w14:textId="5D8AAA0B" w:rsidR="008C7BCC" w:rsidRDefault="008C7BCC" w:rsidP="008C7BCC">
      <w:pPr>
        <w:suppressAutoHyphens/>
        <w:spacing w:before="60"/>
        <w:ind w:firstLine="540"/>
        <w:jc w:val="both"/>
        <w:rPr>
          <w:rFonts w:ascii="Times New Roman" w:hAnsi="Times New Roman" w:cs="Times New Roman"/>
          <w:lang w:eastAsia="zh-CN"/>
        </w:rPr>
      </w:pPr>
      <w:r>
        <w:rPr>
          <w:rFonts w:ascii="Times New Roman" w:hAnsi="Times New Roman" w:cs="Times New Roman"/>
          <w:iCs/>
          <w:lang w:val="uk-UA" w:eastAsia="zh-CN"/>
        </w:rPr>
        <w:t xml:space="preserve">Якщо ми будемо визнані переможцем, ми беремо на себе зобов’язання підписати договір про закупівлю у строк не раніше ніж </w:t>
      </w:r>
      <w:r>
        <w:rPr>
          <w:rFonts w:ascii="Times New Roman" w:hAnsi="Times New Roman" w:cs="Times New Roman"/>
          <w:bCs/>
          <w:iCs/>
          <w:lang w:val="uk-UA" w:eastAsia="zh-CN"/>
        </w:rPr>
        <w:t xml:space="preserve">через </w:t>
      </w:r>
      <w:r w:rsidR="00734A44">
        <w:rPr>
          <w:rFonts w:ascii="Times New Roman" w:hAnsi="Times New Roman" w:cs="Times New Roman"/>
          <w:bCs/>
          <w:iCs/>
          <w:lang w:val="uk-UA" w:eastAsia="zh-CN"/>
        </w:rPr>
        <w:t>5</w:t>
      </w:r>
      <w:r>
        <w:rPr>
          <w:rFonts w:ascii="Times New Roman" w:hAnsi="Times New Roman" w:cs="Times New Roman"/>
          <w:bCs/>
          <w:iCs/>
          <w:lang w:val="uk-UA" w:eastAsia="zh-CN"/>
        </w:rPr>
        <w:t xml:space="preserve"> днів з дати оприлюднення в електронній системі закупівель повідомлення про намір укласти договір про закупівлю і не пізніше ніж через </w:t>
      </w:r>
      <w:r w:rsidR="00734A44">
        <w:rPr>
          <w:rFonts w:ascii="Times New Roman" w:hAnsi="Times New Roman" w:cs="Times New Roman"/>
          <w:bCs/>
          <w:iCs/>
          <w:lang w:val="uk-UA" w:eastAsia="zh-CN"/>
        </w:rPr>
        <w:t>15</w:t>
      </w:r>
      <w:r>
        <w:rPr>
          <w:rFonts w:ascii="Times New Roman" w:hAnsi="Times New Roman" w:cs="Times New Roman"/>
          <w:bCs/>
          <w:iCs/>
          <w:lang w:val="uk-UA" w:eastAsia="zh-CN"/>
        </w:rPr>
        <w:t xml:space="preserve"> днів з дня прийняття рішення про намір</w:t>
      </w:r>
      <w:r>
        <w:rPr>
          <w:rFonts w:ascii="Times New Roman" w:hAnsi="Times New Roman" w:cs="Times New Roman"/>
          <w:iCs/>
          <w:lang w:val="uk-UA" w:eastAsia="zh-CN"/>
        </w:rPr>
        <w:t xml:space="preserve"> укласти договір про закупівлю відповідно до вимог </w:t>
      </w:r>
      <w:r>
        <w:rPr>
          <w:rFonts w:ascii="Times New Roman" w:hAnsi="Times New Roman" w:cs="Times New Roman"/>
          <w:lang w:val="uk-UA" w:eastAsia="zh-CN"/>
        </w:rPr>
        <w:t xml:space="preserve">тендерної </w:t>
      </w:r>
      <w:r>
        <w:rPr>
          <w:rFonts w:ascii="Times New Roman" w:hAnsi="Times New Roman" w:cs="Times New Roman"/>
          <w:iCs/>
          <w:lang w:val="uk-UA" w:eastAsia="zh-CN"/>
        </w:rPr>
        <w:t>документації та нашої пропозиції, та виконати усі умови договору. У випадку обґрунтованої необхідності строк для укладання договору може бути продовжений до 60 днів.</w:t>
      </w:r>
    </w:p>
    <w:p w14:paraId="6186E8A8" w14:textId="77777777" w:rsidR="008C7BCC" w:rsidRDefault="008C7BCC" w:rsidP="008C7BCC">
      <w:pPr>
        <w:widowControl w:val="0"/>
        <w:tabs>
          <w:tab w:val="left" w:pos="540"/>
        </w:tabs>
        <w:suppressAutoHyphens/>
        <w:spacing w:before="60"/>
        <w:ind w:right="-23"/>
        <w:jc w:val="both"/>
        <w:rPr>
          <w:rFonts w:ascii="Times New Roman" w:hAnsi="Times New Roman" w:cs="Times New Roman"/>
          <w:lang w:val="uk-UA" w:eastAsia="zh-CN"/>
        </w:rPr>
      </w:pPr>
      <w:r>
        <w:rPr>
          <w:rFonts w:ascii="Times New Roman" w:hAnsi="Times New Roman" w:cs="Times New Roman"/>
          <w:lang w:eastAsia="zh-CN"/>
        </w:rPr>
        <w:tab/>
      </w:r>
      <w:r>
        <w:rPr>
          <w:rFonts w:ascii="Times New Roman" w:hAnsi="Times New Roman" w:cs="Times New Roman"/>
          <w:lang w:val="uk-UA" w:eastAsia="zh-CN"/>
        </w:rPr>
        <w:t>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 та регламентованими Законом.</w:t>
      </w:r>
    </w:p>
    <w:p w14:paraId="0F986B59" w14:textId="77777777" w:rsidR="008C7BCC" w:rsidRDefault="008C7BCC" w:rsidP="008C7BCC">
      <w:pPr>
        <w:suppressAutoHyphens/>
        <w:ind w:firstLine="540"/>
        <w:jc w:val="center"/>
        <w:rPr>
          <w:rFonts w:ascii="Times New Roman" w:hAnsi="Times New Roman" w:cs="Times New Roman"/>
          <w:i/>
          <w:iCs/>
          <w:lang w:val="uk-UA" w:eastAsia="ar-SA"/>
        </w:rPr>
      </w:pPr>
      <w:r>
        <w:rPr>
          <w:rFonts w:ascii="Times New Roman" w:hAnsi="Times New Roman" w:cs="Times New Roman"/>
          <w:i/>
          <w:iCs/>
          <w:lang w:val="uk-UA" w:eastAsia="ar-SA"/>
        </w:rPr>
        <w:t>Посада, прізвище, ініціали, підпис уповноваженої особи Учасника, завірені печаткою (за наявності).*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1D2E9BD9" w14:textId="77777777" w:rsidR="00FF7F3F" w:rsidRPr="008C7BCC" w:rsidRDefault="00FF7F3F">
      <w:pPr>
        <w:rPr>
          <w:lang w:val="uk-UA"/>
        </w:rPr>
      </w:pPr>
    </w:p>
    <w:sectPr w:rsidR="00FF7F3F" w:rsidRPr="008C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CC"/>
    <w:rsid w:val="00372458"/>
    <w:rsid w:val="004162F2"/>
    <w:rsid w:val="00734A44"/>
    <w:rsid w:val="008C7BCC"/>
    <w:rsid w:val="009A4258"/>
    <w:rsid w:val="009B08C0"/>
    <w:rsid w:val="00A37CCE"/>
    <w:rsid w:val="00DC2903"/>
    <w:rsid w:val="00E57765"/>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4AC4"/>
  <w15:chartTrackingRefBased/>
  <w15:docId w15:val="{B28E0A62-2319-4500-B3C1-39485FBE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BCC"/>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7CC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37CC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2055</Words>
  <Characters>1172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Чупрун Альона Миколаївна</dc:creator>
  <cp:keywords/>
  <dc:description/>
  <cp:lastModifiedBy>Користувач Windows</cp:lastModifiedBy>
  <cp:revision>4</cp:revision>
  <cp:lastPrinted>2023-02-16T09:16:00Z</cp:lastPrinted>
  <dcterms:created xsi:type="dcterms:W3CDTF">2023-02-16T07:22:00Z</dcterms:created>
  <dcterms:modified xsi:type="dcterms:W3CDTF">2023-02-16T09:16:00Z</dcterms:modified>
</cp:coreProperties>
</file>