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DE" w:rsidRPr="00E420A6" w:rsidRDefault="00E66CDE" w:rsidP="00E66CDE">
      <w:pPr>
        <w:shd w:val="clear" w:color="auto" w:fill="FFFFFF" w:themeFill="background1"/>
        <w:jc w:val="right"/>
        <w:rPr>
          <w:lang w:val="uk-UA"/>
        </w:rPr>
      </w:pPr>
      <w:r w:rsidRPr="00E420A6">
        <w:rPr>
          <w:rFonts w:eastAsia="Times New Roman"/>
          <w:b/>
          <w:lang w:val="uk-UA"/>
        </w:rPr>
        <w:t xml:space="preserve">Додаток </w:t>
      </w:r>
      <w:r>
        <w:rPr>
          <w:rFonts w:eastAsia="Times New Roman"/>
          <w:b/>
          <w:lang w:val="uk-UA"/>
        </w:rPr>
        <w:t>2</w:t>
      </w:r>
    </w:p>
    <w:p w:rsidR="00E66CDE" w:rsidRPr="00E420A6" w:rsidRDefault="00E66CDE" w:rsidP="00E66CDE">
      <w:pPr>
        <w:shd w:val="clear" w:color="auto" w:fill="FFFFFF" w:themeFill="background1"/>
        <w:jc w:val="right"/>
        <w:rPr>
          <w:lang w:val="uk-UA"/>
        </w:rPr>
      </w:pPr>
      <w:r w:rsidRPr="00E420A6">
        <w:rPr>
          <w:rFonts w:eastAsia="Times New Roman"/>
          <w:lang w:val="uk-UA"/>
        </w:rPr>
        <w:t>до тендерної документації</w:t>
      </w:r>
    </w:p>
    <w:p w:rsidR="00E66CDE" w:rsidRPr="00FD7E83" w:rsidRDefault="00FD7E83" w:rsidP="00E66CDE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D7E83">
        <w:rPr>
          <w:b/>
          <w:sz w:val="28"/>
          <w:szCs w:val="28"/>
          <w:lang w:val="uk-UA"/>
        </w:rPr>
        <w:t>Технічне завдання</w:t>
      </w:r>
    </w:p>
    <w:p w:rsidR="00E66CDE" w:rsidRPr="00FD7E83" w:rsidRDefault="00E66CDE" w:rsidP="00E66CDE">
      <w:pPr>
        <w:shd w:val="clear" w:color="auto" w:fill="FFFFFF"/>
        <w:ind w:left="34" w:right="1"/>
        <w:rPr>
          <w:b/>
          <w:bCs/>
          <w:color w:val="000000"/>
          <w:sz w:val="28"/>
          <w:szCs w:val="28"/>
        </w:rPr>
      </w:pPr>
    </w:p>
    <w:p w:rsidR="00FD7E83" w:rsidRPr="00FD7E83" w:rsidRDefault="00FD7E83" w:rsidP="00FD7E83">
      <w:pPr>
        <w:jc w:val="both"/>
        <w:rPr>
          <w:rFonts w:eastAsia="Times New Roman"/>
          <w:color w:val="000000"/>
          <w:lang w:val="uk-UA"/>
        </w:rPr>
      </w:pPr>
      <w:r w:rsidRPr="00FD7E83">
        <w:rPr>
          <w:rFonts w:eastAsia="Times New Roman"/>
          <w:color w:val="000000"/>
          <w:lang w:val="uk-UA"/>
        </w:rPr>
        <w:t>1. Інформація про об’єкт страхування: об’єктом обов’язкового страхування цивільно-правової відповідальності власників наземних транспортних засобів є майнові інтереси, що не суперечать законодавству України, пов’язані з відшкодуванням особою, цивільно-правова відповідальність якої застрахована, шкоди, заподіяної життю, здоров’ю, майну третіх осіб, що виникла внаслідок експлуатації забезпеченого транспортного засобу (далі також – ТЗ).</w:t>
      </w:r>
    </w:p>
    <w:p w:rsidR="00FD7E83" w:rsidRPr="00FD7E83" w:rsidRDefault="00FD7E83" w:rsidP="00FD7E83">
      <w:pPr>
        <w:jc w:val="both"/>
        <w:rPr>
          <w:rFonts w:eastAsia="Times New Roman"/>
          <w:color w:val="000000"/>
          <w:lang w:val="uk-UA"/>
        </w:rPr>
      </w:pPr>
      <w:r w:rsidRPr="00FD7E83">
        <w:rPr>
          <w:rFonts w:eastAsia="Times New Roman"/>
          <w:color w:val="000000"/>
          <w:lang w:val="uk-UA"/>
        </w:rPr>
        <w:t xml:space="preserve">2.Вид страхування: обов’язкове страхування цивільно-правової відповідальності власників наземних транспортних засобів. </w:t>
      </w:r>
    </w:p>
    <w:p w:rsidR="00FD7E83" w:rsidRPr="00FD7E83" w:rsidRDefault="00FD7E83" w:rsidP="00FD7E83">
      <w:pPr>
        <w:jc w:val="both"/>
        <w:rPr>
          <w:rFonts w:eastAsia="Times New Roman"/>
          <w:color w:val="000000"/>
          <w:lang w:val="uk-UA"/>
        </w:rPr>
      </w:pPr>
      <w:r w:rsidRPr="00FD7E83">
        <w:rPr>
          <w:rFonts w:eastAsia="Times New Roman"/>
          <w:color w:val="000000"/>
          <w:lang w:val="uk-UA"/>
        </w:rPr>
        <w:t>3.Перелік страхових ризиків (випадків): відповідно до Законів України «Про страхування» і «Про обов’язкове страхування цивільно-правової відповідальності власників наземних транспортних засобів» страховим випадком є подія, внаслідок якої заподіяна шкода третім особам під час дорожньо-транспортної пригоди, яка сталася за участю забезпеченого транспортного засобу і внаслідок якої настає цивільно-правова відповідальність особи, відповідальність якої застрахована за договором.</w:t>
      </w:r>
    </w:p>
    <w:p w:rsidR="00FD7E83" w:rsidRPr="00FD7E83" w:rsidRDefault="00FD7E83" w:rsidP="00FD7E83">
      <w:pPr>
        <w:jc w:val="both"/>
        <w:rPr>
          <w:rFonts w:eastAsia="Times New Roman"/>
          <w:lang w:val="uk-UA" w:eastAsia="zh-CN"/>
        </w:rPr>
      </w:pPr>
      <w:r w:rsidRPr="00FD7E83">
        <w:rPr>
          <w:rFonts w:eastAsia="Times New Roman"/>
          <w:lang w:val="uk-UA" w:eastAsia="zh-CN"/>
        </w:rPr>
        <w:t>4.  Визначення страхових платежів (внесків, премій)  шляхом добутку базового страхового платежу та коригуючих коефіцієнтів, затверджених Уповноваженим органом, що здійснює нагляд за страховою діяльністю, Законом України «Про обов’язкове страхування цивільно-правової відповідальності власників наземних тран</w:t>
      </w:r>
      <w:r>
        <w:rPr>
          <w:rFonts w:eastAsia="Times New Roman"/>
          <w:lang w:val="uk-UA" w:eastAsia="zh-CN"/>
        </w:rPr>
        <w:t>спортних засобів» від 01.07.200</w:t>
      </w:r>
      <w:r w:rsidRPr="00FD7E83">
        <w:rPr>
          <w:rFonts w:eastAsia="Times New Roman"/>
          <w:lang w:val="uk-UA" w:eastAsia="zh-CN"/>
        </w:rPr>
        <w:t>4 № 1961- IV, із змінами та доповненнями</w:t>
      </w:r>
      <w:r>
        <w:rPr>
          <w:rFonts w:eastAsia="Times New Roman"/>
          <w:lang w:val="uk-UA" w:eastAsia="zh-CN"/>
        </w:rPr>
        <w:t>.</w:t>
      </w:r>
    </w:p>
    <w:p w:rsidR="00FD7E83" w:rsidRPr="00FD7E83" w:rsidRDefault="00FD7E83" w:rsidP="00FD7E83">
      <w:pPr>
        <w:jc w:val="both"/>
        <w:rPr>
          <w:rFonts w:eastAsia="Times New Roman"/>
          <w:lang w:val="uk-UA" w:eastAsia="zh-CN"/>
        </w:rPr>
      </w:pPr>
      <w:r w:rsidRPr="00FD7E83">
        <w:rPr>
          <w:rFonts w:eastAsia="Times New Roman"/>
          <w:lang w:val="uk-UA" w:eastAsia="zh-CN"/>
        </w:rPr>
        <w:t>Розрахунок страхового платежу за надання страхового покриття по кожному транспортному засобу окремого типу має відповідати вимогам Закону України «Про обов’язкове страхування цивільно-правової відповідальності власників наземних транспортних засобів» та нормативно-правовим актам Державної комісії з регулювання ринків фінансових послуг України або іншого органу уповноваженого на здійснення контролю та нагляду за страховою діяльністю, і повинна включати усі можливі витрати Учасника на надання послуг Замовнику (сплата податків і зборів, перестрахування, тощо).</w:t>
      </w:r>
    </w:p>
    <w:p w:rsidR="00FD7E83" w:rsidRPr="00FD7E83" w:rsidRDefault="00FD7E83" w:rsidP="00FD7E83">
      <w:pPr>
        <w:jc w:val="both"/>
        <w:rPr>
          <w:rFonts w:eastAsia="Times New Roman"/>
          <w:lang w:val="uk-UA" w:eastAsia="zh-CN"/>
        </w:rPr>
      </w:pPr>
      <w:r w:rsidRPr="00FD7E83">
        <w:rPr>
          <w:rFonts w:eastAsia="Times New Roman"/>
          <w:lang w:val="uk-UA" w:eastAsia="zh-CN"/>
        </w:rPr>
        <w:t xml:space="preserve">5. Страхування відповідальності за шкоду, заподіяну внаслідок експлуатації ТЗ, визначеного в договорі страхування будь-якою особою, яка експлуатує його на законних підставах. </w:t>
      </w:r>
    </w:p>
    <w:p w:rsidR="00FD7E83" w:rsidRPr="00FD7E83" w:rsidRDefault="00FD7E83" w:rsidP="00FD7E83">
      <w:pPr>
        <w:jc w:val="both"/>
        <w:rPr>
          <w:rFonts w:eastAsia="Times New Roman"/>
          <w:lang w:val="uk-UA" w:eastAsia="zh-CN"/>
        </w:rPr>
      </w:pPr>
      <w:r w:rsidRPr="00FD7E83">
        <w:rPr>
          <w:rFonts w:eastAsia="Times New Roman"/>
          <w:lang w:val="uk-UA" w:eastAsia="zh-CN"/>
        </w:rPr>
        <w:t xml:space="preserve">6. Розмір франшизи: </w:t>
      </w:r>
      <w:r w:rsidRPr="00FD7E83">
        <w:rPr>
          <w:rFonts w:eastAsia="Times New Roman"/>
          <w:color w:val="000000"/>
          <w:lang w:val="uk-UA"/>
        </w:rPr>
        <w:t>0 % від ліміту відповідальності Страховика (його частини) за шкоду, заподіяну майну потерпілих по кожному та будь-якому страховому випадку.</w:t>
      </w:r>
      <w:r w:rsidRPr="00FD7E83">
        <w:rPr>
          <w:rFonts w:eastAsia="Times New Roman"/>
          <w:lang w:val="uk-UA" w:eastAsia="zh-CN"/>
        </w:rPr>
        <w:t>0 грн.</w:t>
      </w:r>
    </w:p>
    <w:p w:rsidR="00FD7E83" w:rsidRPr="00FD7E83" w:rsidRDefault="00FD7E83" w:rsidP="00FD7E83">
      <w:pPr>
        <w:jc w:val="both"/>
        <w:rPr>
          <w:rFonts w:eastAsia="Times New Roman"/>
          <w:lang w:val="uk-UA" w:eastAsia="zh-CN"/>
        </w:rPr>
      </w:pPr>
      <w:r w:rsidRPr="00FD7E83">
        <w:rPr>
          <w:rFonts w:eastAsia="Times New Roman"/>
          <w:lang w:val="uk-UA" w:eastAsia="zh-CN"/>
        </w:rPr>
        <w:t>7. Метод відшкодування: згідно Закону України про обов’язкове страхування цивільно-правової відповідальності власників наземних транспортних засобів від 01.07.2004 р. № 1961-</w:t>
      </w:r>
      <w:r w:rsidRPr="00FD7E83">
        <w:rPr>
          <w:rFonts w:eastAsia="Times New Roman"/>
          <w:lang w:val="en-US" w:eastAsia="zh-CN"/>
        </w:rPr>
        <w:t>IV</w:t>
      </w:r>
      <w:r w:rsidRPr="00FD7E83">
        <w:rPr>
          <w:rFonts w:eastAsia="Times New Roman"/>
          <w:lang w:val="uk-UA" w:eastAsia="zh-CN"/>
        </w:rPr>
        <w:t>.</w:t>
      </w:r>
    </w:p>
    <w:p w:rsidR="00FD7E83" w:rsidRPr="00FD7E83" w:rsidRDefault="00FD7E83" w:rsidP="00FD7E83">
      <w:pPr>
        <w:jc w:val="both"/>
        <w:rPr>
          <w:rFonts w:eastAsia="Times New Roman"/>
          <w:color w:val="000000"/>
          <w:lang w:val="uk-UA"/>
        </w:rPr>
      </w:pPr>
      <w:r w:rsidRPr="00FD7E83">
        <w:rPr>
          <w:rFonts w:eastAsia="Times New Roman"/>
          <w:color w:val="000000"/>
          <w:lang w:val="uk-UA"/>
        </w:rPr>
        <w:t>8. Договір страхування: діє до 31.12.202</w:t>
      </w:r>
      <w:r>
        <w:rPr>
          <w:rFonts w:eastAsia="Times New Roman"/>
          <w:color w:val="000000"/>
          <w:lang w:val="uk-UA"/>
        </w:rPr>
        <w:t>2</w:t>
      </w:r>
      <w:r w:rsidRPr="00FD7E83">
        <w:rPr>
          <w:rFonts w:eastAsia="Times New Roman"/>
          <w:color w:val="000000"/>
          <w:lang w:val="uk-UA"/>
        </w:rPr>
        <w:t xml:space="preserve"> року включно, а в частині виконання зобов’язань страховиком - до закінчення терміну дії усіх полісів, але у будь-якому випадку до виконання в повному обсязі сторонами договору своїх зобов’язань.</w:t>
      </w:r>
    </w:p>
    <w:p w:rsidR="00FD7E83" w:rsidRPr="00FD7E83" w:rsidRDefault="00FD7E83" w:rsidP="00FD7E83">
      <w:pPr>
        <w:jc w:val="both"/>
        <w:rPr>
          <w:rFonts w:eastAsia="Times New Roman"/>
          <w:color w:val="000000"/>
          <w:lang w:val="uk-UA"/>
        </w:rPr>
      </w:pPr>
      <w:r w:rsidRPr="00FD7E83">
        <w:rPr>
          <w:rFonts w:eastAsia="Times New Roman"/>
          <w:color w:val="000000"/>
          <w:lang w:val="uk-UA"/>
        </w:rPr>
        <w:t>9. Строк дії страхового полісу та страхового покриття: 1 (один) рік відносно кожного окремого транспортного засобу і обраховується з дати початку дії страхового полісу.</w:t>
      </w:r>
    </w:p>
    <w:p w:rsidR="00FD7E83" w:rsidRPr="00FD7E83" w:rsidRDefault="00FD7E83" w:rsidP="00FD7E83">
      <w:pPr>
        <w:jc w:val="both"/>
        <w:rPr>
          <w:rFonts w:eastAsia="Times New Roman"/>
          <w:color w:val="000000"/>
          <w:lang w:val="uk-UA"/>
        </w:rPr>
      </w:pPr>
      <w:r w:rsidRPr="00FD7E83">
        <w:rPr>
          <w:rFonts w:eastAsia="Times New Roman"/>
          <w:color w:val="000000"/>
          <w:lang w:val="uk-UA"/>
        </w:rPr>
        <w:t xml:space="preserve">10. Оформлення страхових полісів здійснюється частинами, у відповідності до заявок Замовника, протягом строку дії Договору. Початок дії Полісу Замовник вказує у заявці відносно кожного окремого транспортного засобу. </w:t>
      </w:r>
    </w:p>
    <w:p w:rsidR="00E66CDE" w:rsidRDefault="00E66CDE" w:rsidP="00E66CDE">
      <w:pPr>
        <w:shd w:val="clear" w:color="auto" w:fill="FFFFFF"/>
        <w:ind w:left="34" w:right="1"/>
        <w:rPr>
          <w:b/>
          <w:bCs/>
          <w:color w:val="000000"/>
          <w:lang w:val="uk-UA"/>
        </w:rPr>
      </w:pPr>
    </w:p>
    <w:p w:rsidR="00FD7E83" w:rsidRDefault="00FD7E83" w:rsidP="00E66CDE">
      <w:pPr>
        <w:shd w:val="clear" w:color="auto" w:fill="FFFFFF"/>
        <w:ind w:left="34" w:right="1"/>
        <w:rPr>
          <w:b/>
          <w:bCs/>
          <w:color w:val="000000"/>
          <w:lang w:val="uk-UA"/>
        </w:rPr>
      </w:pPr>
    </w:p>
    <w:p w:rsidR="00FD7E83" w:rsidRDefault="00FD7E83" w:rsidP="00E66CDE">
      <w:pPr>
        <w:shd w:val="clear" w:color="auto" w:fill="FFFFFF"/>
        <w:ind w:left="34" w:right="1"/>
        <w:rPr>
          <w:b/>
          <w:bCs/>
          <w:color w:val="000000"/>
          <w:lang w:val="uk-UA"/>
        </w:rPr>
      </w:pPr>
    </w:p>
    <w:p w:rsidR="00FD7E83" w:rsidRDefault="00FD7E83" w:rsidP="00E66CDE">
      <w:pPr>
        <w:shd w:val="clear" w:color="auto" w:fill="FFFFFF"/>
        <w:ind w:left="34" w:right="1"/>
        <w:rPr>
          <w:b/>
          <w:bCs/>
          <w:color w:val="000000"/>
          <w:lang w:val="uk-UA"/>
        </w:rPr>
      </w:pPr>
    </w:p>
    <w:p w:rsidR="00FD7E83" w:rsidRDefault="00FD7E83" w:rsidP="00E66CDE">
      <w:pPr>
        <w:shd w:val="clear" w:color="auto" w:fill="FFFFFF"/>
        <w:ind w:left="34" w:right="1"/>
        <w:rPr>
          <w:b/>
          <w:bCs/>
          <w:color w:val="000000"/>
          <w:lang w:val="uk-UA"/>
        </w:rPr>
      </w:pPr>
    </w:p>
    <w:p w:rsidR="00FD7E83" w:rsidRDefault="00FD7E83" w:rsidP="00E66CDE">
      <w:pPr>
        <w:shd w:val="clear" w:color="auto" w:fill="FFFFFF"/>
        <w:ind w:left="34" w:right="1"/>
        <w:rPr>
          <w:b/>
          <w:bCs/>
          <w:color w:val="000000"/>
          <w:lang w:val="uk-UA"/>
        </w:rPr>
      </w:pPr>
    </w:p>
    <w:p w:rsidR="00FD7E83" w:rsidRDefault="00FD7E83" w:rsidP="00E66CDE">
      <w:pPr>
        <w:shd w:val="clear" w:color="auto" w:fill="FFFFFF"/>
        <w:ind w:left="34" w:right="1"/>
        <w:rPr>
          <w:b/>
          <w:bCs/>
          <w:color w:val="000000"/>
          <w:lang w:val="uk-UA"/>
        </w:rPr>
      </w:pPr>
    </w:p>
    <w:p w:rsidR="00FD7E83" w:rsidRDefault="00FD7E83" w:rsidP="00E66CDE">
      <w:pPr>
        <w:shd w:val="clear" w:color="auto" w:fill="FFFFFF"/>
        <w:ind w:left="34" w:right="1"/>
        <w:rPr>
          <w:b/>
          <w:bCs/>
          <w:color w:val="000000"/>
          <w:lang w:val="uk-UA"/>
        </w:rPr>
      </w:pPr>
    </w:p>
    <w:p w:rsidR="00FD7E83" w:rsidRDefault="00FD7E83" w:rsidP="00E66CDE">
      <w:pPr>
        <w:shd w:val="clear" w:color="auto" w:fill="FFFFFF"/>
        <w:ind w:left="34" w:right="1"/>
        <w:rPr>
          <w:b/>
          <w:bCs/>
          <w:color w:val="000000"/>
          <w:lang w:val="uk-UA"/>
        </w:rPr>
      </w:pPr>
    </w:p>
    <w:p w:rsidR="00FD7E83" w:rsidRPr="00FD7E83" w:rsidRDefault="00FD7E83" w:rsidP="00E66CDE">
      <w:pPr>
        <w:shd w:val="clear" w:color="auto" w:fill="FFFFFF"/>
        <w:ind w:left="34" w:right="1"/>
        <w:rPr>
          <w:b/>
          <w:bCs/>
          <w:color w:val="000000"/>
          <w:lang w:val="uk-UA"/>
        </w:rPr>
      </w:pPr>
    </w:p>
    <w:p w:rsidR="00E66CDE" w:rsidRDefault="00E66CDE" w:rsidP="00E66CDE">
      <w:pPr>
        <w:ind w:right="29"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734"/>
        <w:gridCol w:w="3969"/>
      </w:tblGrid>
      <w:tr w:rsidR="00256FF5" w:rsidRPr="00F272D9" w:rsidTr="00256FF5"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56FF5" w:rsidRPr="006D6568" w:rsidRDefault="00256FF5" w:rsidP="004955F4">
            <w:pPr>
              <w:ind w:right="29"/>
              <w:contextualSpacing/>
              <w:jc w:val="center"/>
              <w:rPr>
                <w:b/>
              </w:rPr>
            </w:pPr>
            <w:r w:rsidRPr="006D6568">
              <w:rPr>
                <w:b/>
              </w:rPr>
              <w:t>№</w:t>
            </w:r>
          </w:p>
        </w:tc>
        <w:tc>
          <w:tcPr>
            <w:tcW w:w="3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6FF5" w:rsidRPr="006D6568" w:rsidRDefault="00256FF5" w:rsidP="004955F4">
            <w:pPr>
              <w:ind w:right="29"/>
              <w:contextualSpacing/>
              <w:jc w:val="center"/>
              <w:rPr>
                <w:b/>
              </w:rPr>
            </w:pPr>
            <w:proofErr w:type="spellStart"/>
            <w:r w:rsidRPr="006D6568">
              <w:rPr>
                <w:b/>
              </w:rPr>
              <w:t>Страховий</w:t>
            </w:r>
            <w:proofErr w:type="spellEnd"/>
            <w:r w:rsidRPr="006D6568">
              <w:rPr>
                <w:b/>
              </w:rPr>
              <w:t xml:space="preserve"> тип ТЗ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6FF5" w:rsidRPr="006D6568" w:rsidRDefault="00256FF5" w:rsidP="004955F4">
            <w:pPr>
              <w:ind w:right="29"/>
              <w:contextualSpacing/>
              <w:jc w:val="center"/>
              <w:rPr>
                <w:b/>
              </w:rPr>
            </w:pPr>
            <w:proofErr w:type="spellStart"/>
            <w:r w:rsidRPr="006D6568">
              <w:rPr>
                <w:b/>
              </w:rPr>
              <w:t>Кількість</w:t>
            </w:r>
            <w:proofErr w:type="spellEnd"/>
          </w:p>
        </w:tc>
      </w:tr>
      <w:tr w:rsidR="00256FF5" w:rsidRPr="00F272D9" w:rsidTr="00256FF5"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>
              <w:t>1</w:t>
            </w:r>
          </w:p>
        </w:tc>
        <w:tc>
          <w:tcPr>
            <w:tcW w:w="3734" w:type="dxa"/>
            <w:tcBorders>
              <w:top w:val="single" w:sz="12" w:space="0" w:color="auto"/>
            </w:tcBorders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 w:rsidRPr="00F272D9">
              <w:t>В1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  <w:rPr>
                <w:lang w:val="en-US"/>
              </w:rPr>
            </w:pPr>
            <w:r w:rsidRPr="00F272D9">
              <w:rPr>
                <w:lang w:val="en-US"/>
              </w:rPr>
              <w:t>167</w:t>
            </w:r>
          </w:p>
        </w:tc>
      </w:tr>
      <w:tr w:rsidR="00256FF5" w:rsidRPr="00F272D9" w:rsidTr="00256FF5">
        <w:tc>
          <w:tcPr>
            <w:tcW w:w="646" w:type="dxa"/>
            <w:tcBorders>
              <w:left w:val="single" w:sz="12" w:space="0" w:color="auto"/>
            </w:tcBorders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>
              <w:t>2</w:t>
            </w:r>
          </w:p>
        </w:tc>
        <w:tc>
          <w:tcPr>
            <w:tcW w:w="3734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 w:rsidRPr="00F272D9">
              <w:t>В2</w:t>
            </w:r>
          </w:p>
        </w:tc>
        <w:tc>
          <w:tcPr>
            <w:tcW w:w="3969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 w:rsidRPr="00F272D9">
              <w:rPr>
                <w:lang w:val="en-US"/>
              </w:rPr>
              <w:t>6</w:t>
            </w:r>
            <w:r w:rsidRPr="00F272D9">
              <w:t>6</w:t>
            </w:r>
          </w:p>
        </w:tc>
      </w:tr>
      <w:tr w:rsidR="00256FF5" w:rsidRPr="00F272D9" w:rsidTr="00256FF5">
        <w:tc>
          <w:tcPr>
            <w:tcW w:w="646" w:type="dxa"/>
            <w:tcBorders>
              <w:left w:val="single" w:sz="12" w:space="0" w:color="auto"/>
            </w:tcBorders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>
              <w:t>3</w:t>
            </w:r>
          </w:p>
        </w:tc>
        <w:tc>
          <w:tcPr>
            <w:tcW w:w="3734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 w:rsidRPr="00F272D9">
              <w:t>В3</w:t>
            </w:r>
          </w:p>
        </w:tc>
        <w:tc>
          <w:tcPr>
            <w:tcW w:w="3969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  <w:rPr>
                <w:lang w:val="en-US"/>
              </w:rPr>
            </w:pPr>
            <w:r w:rsidRPr="00F272D9">
              <w:rPr>
                <w:lang w:val="en-US"/>
              </w:rPr>
              <w:t>49</w:t>
            </w:r>
          </w:p>
        </w:tc>
      </w:tr>
      <w:tr w:rsidR="00256FF5" w:rsidRPr="00F272D9" w:rsidTr="00256FF5">
        <w:tc>
          <w:tcPr>
            <w:tcW w:w="646" w:type="dxa"/>
            <w:tcBorders>
              <w:left w:val="single" w:sz="12" w:space="0" w:color="auto"/>
            </w:tcBorders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>
              <w:t>4</w:t>
            </w:r>
          </w:p>
        </w:tc>
        <w:tc>
          <w:tcPr>
            <w:tcW w:w="3734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 w:rsidRPr="00F272D9">
              <w:t>В4</w:t>
            </w:r>
          </w:p>
        </w:tc>
        <w:tc>
          <w:tcPr>
            <w:tcW w:w="3969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  <w:rPr>
                <w:lang w:val="en-US"/>
              </w:rPr>
            </w:pPr>
            <w:r w:rsidRPr="00F272D9">
              <w:rPr>
                <w:lang w:val="en-US"/>
              </w:rPr>
              <w:t>2</w:t>
            </w:r>
          </w:p>
        </w:tc>
      </w:tr>
      <w:tr w:rsidR="00256FF5" w:rsidRPr="00F272D9" w:rsidTr="00256FF5">
        <w:tc>
          <w:tcPr>
            <w:tcW w:w="646" w:type="dxa"/>
            <w:tcBorders>
              <w:left w:val="single" w:sz="12" w:space="0" w:color="auto"/>
            </w:tcBorders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>
              <w:t>5</w:t>
            </w:r>
          </w:p>
        </w:tc>
        <w:tc>
          <w:tcPr>
            <w:tcW w:w="3734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 w:rsidRPr="00F272D9">
              <w:t>С1</w:t>
            </w:r>
          </w:p>
        </w:tc>
        <w:tc>
          <w:tcPr>
            <w:tcW w:w="3969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  <w:rPr>
                <w:lang w:val="en-US"/>
              </w:rPr>
            </w:pPr>
            <w:r w:rsidRPr="00F272D9">
              <w:rPr>
                <w:lang w:val="en-US"/>
              </w:rPr>
              <w:t>2</w:t>
            </w:r>
          </w:p>
        </w:tc>
      </w:tr>
      <w:tr w:rsidR="00256FF5" w:rsidRPr="00F272D9" w:rsidTr="00256FF5">
        <w:tc>
          <w:tcPr>
            <w:tcW w:w="646" w:type="dxa"/>
            <w:tcBorders>
              <w:left w:val="single" w:sz="12" w:space="0" w:color="auto"/>
            </w:tcBorders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>
              <w:t>6</w:t>
            </w:r>
          </w:p>
        </w:tc>
        <w:tc>
          <w:tcPr>
            <w:tcW w:w="3734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 w:rsidRPr="00F272D9">
              <w:t>С2</w:t>
            </w:r>
          </w:p>
        </w:tc>
        <w:tc>
          <w:tcPr>
            <w:tcW w:w="3969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  <w:rPr>
                <w:lang w:val="en-US"/>
              </w:rPr>
            </w:pPr>
            <w:r w:rsidRPr="00F272D9">
              <w:rPr>
                <w:lang w:val="en-US"/>
              </w:rPr>
              <w:t>3</w:t>
            </w:r>
          </w:p>
        </w:tc>
      </w:tr>
      <w:tr w:rsidR="00256FF5" w:rsidRPr="00F272D9" w:rsidTr="00256FF5">
        <w:tc>
          <w:tcPr>
            <w:tcW w:w="646" w:type="dxa"/>
            <w:tcBorders>
              <w:left w:val="single" w:sz="12" w:space="0" w:color="auto"/>
            </w:tcBorders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>
              <w:t>7</w:t>
            </w:r>
          </w:p>
        </w:tc>
        <w:tc>
          <w:tcPr>
            <w:tcW w:w="3734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  <w:rPr>
                <w:lang w:val="en-US"/>
              </w:rPr>
            </w:pPr>
            <w:r w:rsidRPr="00F272D9">
              <w:rPr>
                <w:lang w:val="en-US"/>
              </w:rPr>
              <w:t>D1</w:t>
            </w:r>
          </w:p>
        </w:tc>
        <w:tc>
          <w:tcPr>
            <w:tcW w:w="3969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  <w:rPr>
                <w:lang w:val="en-US"/>
              </w:rPr>
            </w:pPr>
            <w:r w:rsidRPr="00F272D9">
              <w:rPr>
                <w:lang w:val="en-US"/>
              </w:rPr>
              <w:t>3</w:t>
            </w:r>
          </w:p>
        </w:tc>
      </w:tr>
      <w:tr w:rsidR="00256FF5" w:rsidRPr="00F272D9" w:rsidTr="00256FF5">
        <w:tc>
          <w:tcPr>
            <w:tcW w:w="646" w:type="dxa"/>
            <w:tcBorders>
              <w:left w:val="single" w:sz="12" w:space="0" w:color="auto"/>
            </w:tcBorders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</w:pPr>
            <w:r>
              <w:t>8</w:t>
            </w:r>
          </w:p>
        </w:tc>
        <w:tc>
          <w:tcPr>
            <w:tcW w:w="3734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  <w:rPr>
                <w:lang w:val="en-US"/>
              </w:rPr>
            </w:pPr>
            <w:r w:rsidRPr="00F272D9">
              <w:rPr>
                <w:lang w:val="en-US"/>
              </w:rPr>
              <w:t>D2</w:t>
            </w:r>
          </w:p>
        </w:tc>
        <w:tc>
          <w:tcPr>
            <w:tcW w:w="3969" w:type="dxa"/>
            <w:shd w:val="clear" w:color="auto" w:fill="auto"/>
          </w:tcPr>
          <w:p w:rsidR="00256FF5" w:rsidRPr="00F272D9" w:rsidRDefault="00256FF5" w:rsidP="004955F4">
            <w:pPr>
              <w:ind w:right="29"/>
              <w:contextualSpacing/>
              <w:jc w:val="center"/>
              <w:rPr>
                <w:lang w:val="en-US"/>
              </w:rPr>
            </w:pPr>
            <w:r w:rsidRPr="00F272D9">
              <w:rPr>
                <w:lang w:val="en-US"/>
              </w:rPr>
              <w:t>1</w:t>
            </w:r>
          </w:p>
        </w:tc>
      </w:tr>
      <w:tr w:rsidR="00256FF5" w:rsidRPr="00F272D9" w:rsidTr="00256FF5">
        <w:tc>
          <w:tcPr>
            <w:tcW w:w="646" w:type="dxa"/>
            <w:tcBorders>
              <w:left w:val="single" w:sz="12" w:space="0" w:color="auto"/>
            </w:tcBorders>
            <w:shd w:val="clear" w:color="auto" w:fill="auto"/>
          </w:tcPr>
          <w:p w:rsidR="00256FF5" w:rsidRDefault="00256FF5" w:rsidP="004955F4">
            <w:pPr>
              <w:ind w:right="29"/>
              <w:contextualSpacing/>
              <w:jc w:val="center"/>
            </w:pPr>
          </w:p>
        </w:tc>
        <w:tc>
          <w:tcPr>
            <w:tcW w:w="3734" w:type="dxa"/>
            <w:shd w:val="clear" w:color="auto" w:fill="auto"/>
          </w:tcPr>
          <w:p w:rsidR="00256FF5" w:rsidRPr="00256FF5" w:rsidRDefault="00256FF5" w:rsidP="004955F4">
            <w:pPr>
              <w:ind w:right="29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службових транспортних засобів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256FF5" w:rsidRPr="00256FF5" w:rsidRDefault="00256FF5" w:rsidP="004955F4">
            <w:pPr>
              <w:ind w:right="29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293</w:t>
            </w:r>
          </w:p>
        </w:tc>
      </w:tr>
    </w:tbl>
    <w:p w:rsidR="00E66CDE" w:rsidRPr="0027111C" w:rsidRDefault="00E66CDE" w:rsidP="00E66CDE">
      <w:pPr>
        <w:ind w:right="29" w:firstLine="708"/>
        <w:contextualSpacing/>
        <w:jc w:val="both"/>
        <w:rPr>
          <w:sz w:val="28"/>
          <w:szCs w:val="28"/>
        </w:rPr>
      </w:pPr>
    </w:p>
    <w:p w:rsidR="00E66CDE" w:rsidRPr="005E3CE8" w:rsidRDefault="00E66CDE" w:rsidP="00E66CDE">
      <w:pPr>
        <w:tabs>
          <w:tab w:val="left" w:pos="915"/>
        </w:tabs>
        <w:ind w:firstLine="709"/>
        <w:jc w:val="both"/>
        <w:rPr>
          <w:rFonts w:eastAsia="Times New Roman"/>
          <w:bCs/>
          <w:lang w:val="uk-UA"/>
        </w:rPr>
      </w:pPr>
      <w:proofErr w:type="spellStart"/>
      <w:r w:rsidRPr="002F561D">
        <w:rPr>
          <w:rFonts w:eastAsia="Times New Roman"/>
          <w:color w:val="000000"/>
        </w:rPr>
        <w:t>Місце</w:t>
      </w:r>
      <w:proofErr w:type="spellEnd"/>
      <w:r w:rsidRPr="002F561D">
        <w:rPr>
          <w:rFonts w:eastAsia="Times New Roman"/>
          <w:color w:val="000000"/>
        </w:rPr>
        <w:t xml:space="preserve"> </w:t>
      </w:r>
      <w:proofErr w:type="spellStart"/>
      <w:r w:rsidRPr="002F561D">
        <w:rPr>
          <w:rFonts w:eastAsia="Times New Roman"/>
          <w:color w:val="000000"/>
        </w:rPr>
        <w:t>реєстрації</w:t>
      </w:r>
      <w:proofErr w:type="spellEnd"/>
      <w:r w:rsidRPr="002F561D">
        <w:rPr>
          <w:rFonts w:eastAsia="Times New Roman"/>
          <w:color w:val="000000"/>
        </w:rPr>
        <w:t xml:space="preserve"> ТЗ – м. </w:t>
      </w:r>
      <w:r>
        <w:rPr>
          <w:rFonts w:eastAsia="Times New Roman"/>
          <w:color w:val="000000"/>
          <w:lang w:val="uk-UA"/>
        </w:rPr>
        <w:t>Львів</w:t>
      </w:r>
    </w:p>
    <w:tbl>
      <w:tblPr>
        <w:tblpPr w:leftFromText="180" w:rightFromText="180" w:vertAnchor="text" w:horzAnchor="margin" w:tblpY="75"/>
        <w:tblW w:w="100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E66CDE" w:rsidRPr="00FD7E83" w:rsidTr="004955F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CDE" w:rsidRPr="00FD7E83" w:rsidRDefault="00E66CDE" w:rsidP="004955F4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E66CDE" w:rsidRPr="00FD7E83" w:rsidRDefault="00E66CDE" w:rsidP="004955F4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  <w:r w:rsidRPr="00FD7E83">
              <w:rPr>
                <w:color w:val="000000"/>
                <w:lang w:val="uk-UA"/>
              </w:rPr>
              <w:t>_____________________________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CDE" w:rsidRPr="00FD7E83" w:rsidRDefault="00E66CDE" w:rsidP="004955F4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E66CDE" w:rsidRPr="00FD7E83" w:rsidRDefault="00E66CDE" w:rsidP="004955F4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  <w:r w:rsidRPr="00FD7E83">
              <w:rPr>
                <w:color w:val="000000"/>
                <w:lang w:val="uk-UA"/>
              </w:rPr>
              <w:t>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CDE" w:rsidRPr="00FD7E83" w:rsidRDefault="00E66CDE" w:rsidP="004955F4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</w:p>
          <w:p w:rsidR="00E66CDE" w:rsidRPr="00FD7E83" w:rsidRDefault="00E66CDE" w:rsidP="004955F4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  <w:r w:rsidRPr="00FD7E83">
              <w:rPr>
                <w:color w:val="000000"/>
                <w:lang w:val="uk-UA"/>
              </w:rPr>
              <w:t>_________________________</w:t>
            </w:r>
          </w:p>
        </w:tc>
      </w:tr>
      <w:tr w:rsidR="00E66CDE" w:rsidRPr="00FD7E83" w:rsidTr="004955F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CDE" w:rsidRPr="00FD7E83" w:rsidRDefault="00E66CDE" w:rsidP="004955F4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  <w:r w:rsidRPr="00FD7E83">
              <w:rPr>
                <w:i/>
                <w:color w:val="000000"/>
                <w:lang w:val="uk-UA"/>
              </w:rPr>
              <w:t>посада уповноваженої особи Учасника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CDE" w:rsidRPr="00FD7E83" w:rsidRDefault="00E66CDE" w:rsidP="004955F4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  <w:r w:rsidRPr="00FD7E83">
              <w:rPr>
                <w:i/>
                <w:color w:val="000000"/>
                <w:lang w:val="uk-UA"/>
              </w:rPr>
              <w:t>підпис та печатка (за наявності)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CDE" w:rsidRPr="00FD7E83" w:rsidRDefault="00E66CDE" w:rsidP="004955F4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  <w:r w:rsidRPr="00FD7E83">
              <w:rPr>
                <w:i/>
                <w:color w:val="000000"/>
                <w:lang w:val="uk-UA"/>
              </w:rPr>
              <w:t>прізвище, ініціали</w:t>
            </w:r>
          </w:p>
        </w:tc>
      </w:tr>
    </w:tbl>
    <w:p w:rsidR="00E66CDE" w:rsidRPr="00FD7E83" w:rsidRDefault="00E66CDE" w:rsidP="00E66CDE">
      <w:pPr>
        <w:shd w:val="clear" w:color="auto" w:fill="FFFFFF" w:themeFill="background1"/>
        <w:jc w:val="both"/>
        <w:rPr>
          <w:rFonts w:eastAsia="Times New Roman"/>
          <w:iCs/>
          <w:lang w:val="uk-UA"/>
        </w:rPr>
      </w:pPr>
    </w:p>
    <w:p w:rsidR="00AE3CCC" w:rsidRPr="00FD7E83" w:rsidRDefault="00AE3CCC"/>
    <w:sectPr w:rsidR="00AE3CCC" w:rsidRPr="00FD7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DD"/>
    <w:rsid w:val="00256FF5"/>
    <w:rsid w:val="00AE3CCC"/>
    <w:rsid w:val="00C669DD"/>
    <w:rsid w:val="00E66CDE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F922"/>
  <w15:chartTrackingRefBased/>
  <w15:docId w15:val="{83BFC51B-4088-42E2-A681-D54119D6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DE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2263</Words>
  <Characters>1290</Characters>
  <Application>Microsoft Office Word</Application>
  <DocSecurity>0</DocSecurity>
  <Lines>10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2022-11-29T14:30:00Z</dcterms:created>
  <dcterms:modified xsi:type="dcterms:W3CDTF">2022-11-29T15:51:00Z</dcterms:modified>
</cp:coreProperties>
</file>