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4668CF">
      <w:pPr>
        <w:pStyle w:val="3"/>
        <w:tabs>
          <w:tab w:val="left" w:pos="720"/>
        </w:tabs>
        <w:spacing w:before="0" w:beforeAutospacing="0" w:after="0" w:afterAutospacing="0"/>
        <w:jc w:val="center"/>
        <w:rPr>
          <w:color w:val="000000"/>
          <w:sz w:val="24"/>
          <w:szCs w:val="24"/>
        </w:rPr>
      </w:pPr>
      <w:r w:rsidRPr="00C67114">
        <w:rPr>
          <w:color w:val="000000"/>
          <w:sz w:val="24"/>
          <w:szCs w:val="24"/>
        </w:rPr>
        <w:t>ОГОЛОШЕННЯ</w:t>
      </w:r>
    </w:p>
    <w:p w14:paraId="3ECC2158" w14:textId="76963C03" w:rsidR="00DA36AF" w:rsidRDefault="00DA36AF" w:rsidP="004668CF">
      <w:pPr>
        <w:pStyle w:val="3"/>
        <w:tabs>
          <w:tab w:val="left" w:pos="540"/>
        </w:tabs>
        <w:spacing w:before="0" w:beforeAutospacing="0" w:after="0" w:afterAutospacing="0"/>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4668CF">
      <w:pPr>
        <w:pStyle w:val="3"/>
        <w:tabs>
          <w:tab w:val="left" w:pos="540"/>
        </w:tabs>
        <w:spacing w:before="0" w:beforeAutospacing="0" w:after="0" w:afterAutospacing="0"/>
        <w:ind w:firstLine="540"/>
        <w:jc w:val="center"/>
        <w:rPr>
          <w:b w:val="0"/>
          <w:sz w:val="24"/>
          <w:szCs w:val="24"/>
        </w:rPr>
      </w:pPr>
    </w:p>
    <w:p w14:paraId="38280F5A" w14:textId="2555A834" w:rsidR="00DA36AF" w:rsidRPr="002C0839" w:rsidRDefault="00DA36AF" w:rsidP="0081121E">
      <w:pPr>
        <w:pStyle w:val="a4"/>
        <w:spacing w:before="0" w:beforeAutospacing="0" w:after="0" w:afterAutospacing="0"/>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81121E">
      <w:pPr>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81121E">
      <w:pPr>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81121E">
      <w:pPr>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81121E">
      <w:pPr>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81121E">
      <w:pPr>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E838D2">
      <w:pPr>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4668CF">
      <w:pPr>
        <w:jc w:val="both"/>
      </w:pPr>
    </w:p>
    <w:p w14:paraId="26964189" w14:textId="1C712D77" w:rsidR="0081121E" w:rsidRPr="002C0839" w:rsidRDefault="0081121E" w:rsidP="0081121E">
      <w:pPr>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23B72D2A" w:rsidR="00B037EA" w:rsidRDefault="00535C59" w:rsidP="00B037EA">
      <w:pPr>
        <w:jc w:val="both"/>
      </w:pPr>
      <w:r w:rsidRPr="00535C59">
        <w:rPr>
          <w:i/>
        </w:rPr>
        <w:t xml:space="preserve">ДК 021:2015 - 30230000-0 </w:t>
      </w:r>
      <w:r>
        <w:rPr>
          <w:i/>
        </w:rPr>
        <w:t>–</w:t>
      </w:r>
      <w:r w:rsidRPr="00535C59">
        <w:rPr>
          <w:i/>
        </w:rPr>
        <w:t xml:space="preserve"> </w:t>
      </w:r>
      <w:r>
        <w:rPr>
          <w:i/>
        </w:rPr>
        <w:t>(</w:t>
      </w:r>
      <w:r w:rsidRPr="00535C59">
        <w:rPr>
          <w:i/>
        </w:rPr>
        <w:t>Комп’ютерне обладнання</w:t>
      </w:r>
      <w:r>
        <w:rPr>
          <w:i/>
        </w:rPr>
        <w:t>)</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B037EA">
      <w:pPr>
        <w:jc w:val="both"/>
      </w:pPr>
    </w:p>
    <w:p w14:paraId="75D905FD" w14:textId="72ADFBD6" w:rsidR="0081121E" w:rsidRPr="002C0839" w:rsidRDefault="0081121E" w:rsidP="0081121E">
      <w:pPr>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4668CF">
      <w:pPr>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4668CF">
      <w:pPr>
        <w:jc w:val="both"/>
      </w:pPr>
    </w:p>
    <w:p w14:paraId="72A2FCDB" w14:textId="5133B009" w:rsidR="0081121E" w:rsidRPr="002C0839" w:rsidRDefault="0081121E" w:rsidP="0081121E">
      <w:pPr>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293261">
      <w:pPr>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293261">
      <w:pPr>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4668CF">
      <w:pPr>
        <w:jc w:val="both"/>
      </w:pPr>
    </w:p>
    <w:p w14:paraId="0DDE9B82" w14:textId="112E0272" w:rsidR="0081121E" w:rsidRPr="001B7528" w:rsidRDefault="0081121E" w:rsidP="001B7528">
      <w:pPr>
        <w:ind w:firstLine="851"/>
        <w:jc w:val="both"/>
        <w:rPr>
          <w:b/>
        </w:rPr>
      </w:pPr>
      <w:r w:rsidRPr="001B7528">
        <w:rPr>
          <w:b/>
        </w:rPr>
        <w:t>5. Строк поставки товарів, виконання робіт, надання послуг:</w:t>
      </w:r>
    </w:p>
    <w:p w14:paraId="3B8C096D" w14:textId="26018D90" w:rsidR="00E838D2" w:rsidRPr="000A02E9" w:rsidRDefault="00E838D2" w:rsidP="00E838D2">
      <w:pPr>
        <w:spacing w:line="228" w:lineRule="auto"/>
        <w:ind w:firstLine="851"/>
        <w:jc w:val="both"/>
        <w:rPr>
          <w:i/>
        </w:rPr>
      </w:pPr>
      <w:r w:rsidRPr="000A02E9">
        <w:rPr>
          <w:i/>
        </w:rPr>
        <w:t xml:space="preserve">Продавець передає товар Покупцю не пізніше </w:t>
      </w:r>
      <w:r w:rsidR="002F2112">
        <w:rPr>
          <w:i/>
        </w:rPr>
        <w:t>20</w:t>
      </w:r>
      <w:r w:rsidR="00B037EA">
        <w:rPr>
          <w:i/>
        </w:rPr>
        <w:t>.1</w:t>
      </w:r>
      <w:r w:rsidR="00FF4C5D">
        <w:rPr>
          <w:i/>
        </w:rPr>
        <w:t>2</w:t>
      </w:r>
      <w:r w:rsidR="00075892">
        <w:rPr>
          <w:i/>
        </w:rPr>
        <w:t>.2023 року</w:t>
      </w:r>
      <w:r w:rsidRPr="000A02E9">
        <w:rPr>
          <w:i/>
        </w:rPr>
        <w:t>.</w:t>
      </w:r>
    </w:p>
    <w:p w14:paraId="1DFFF2C6" w14:textId="7F11461B" w:rsidR="0081121E" w:rsidRDefault="0081121E" w:rsidP="004668CF">
      <w:pPr>
        <w:jc w:val="both"/>
      </w:pPr>
    </w:p>
    <w:p w14:paraId="238D9FB8" w14:textId="0F306D0A" w:rsidR="0081121E" w:rsidRPr="001B7528" w:rsidRDefault="0081121E" w:rsidP="0081121E">
      <w:pPr>
        <w:ind w:firstLine="851"/>
        <w:jc w:val="both"/>
        <w:rPr>
          <w:b/>
        </w:rPr>
      </w:pPr>
      <w:r w:rsidRPr="001B7528">
        <w:rPr>
          <w:b/>
        </w:rPr>
        <w:t>6. Умови оплати:</w:t>
      </w:r>
    </w:p>
    <w:p w14:paraId="59A966CF" w14:textId="399486B6" w:rsidR="0081121E" w:rsidRPr="000A02E9" w:rsidRDefault="00E838D2" w:rsidP="00E838D2">
      <w:pPr>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4668CF">
      <w:pPr>
        <w:jc w:val="both"/>
      </w:pPr>
    </w:p>
    <w:p w14:paraId="6FA2DA36" w14:textId="24A089EE" w:rsidR="0081121E" w:rsidRDefault="0081121E" w:rsidP="0068570D">
      <w:pPr>
        <w:ind w:firstLine="851"/>
        <w:jc w:val="both"/>
        <w:rPr>
          <w:b/>
        </w:rPr>
      </w:pPr>
      <w:r w:rsidRPr="001B7528">
        <w:rPr>
          <w:b/>
        </w:rPr>
        <w:t>7. Очікувана вартість предмета закупівлі:</w:t>
      </w:r>
    </w:p>
    <w:p w14:paraId="3DD84747" w14:textId="35D2673C" w:rsidR="002F2112" w:rsidRPr="001B7528" w:rsidRDefault="002F2112" w:rsidP="0068570D">
      <w:pPr>
        <w:ind w:firstLine="851"/>
        <w:jc w:val="both"/>
        <w:rPr>
          <w:b/>
        </w:rPr>
      </w:pPr>
      <w:r>
        <w:rPr>
          <w:b/>
        </w:rPr>
        <w:t>Лот 1 (КЕКВ 3110):</w:t>
      </w:r>
      <w:bookmarkStart w:id="0" w:name="_GoBack"/>
      <w:bookmarkEnd w:id="0"/>
    </w:p>
    <w:p w14:paraId="1B764A62" w14:textId="3C57E0A9" w:rsidR="0081121E" w:rsidRPr="000A02E9" w:rsidRDefault="002F2112" w:rsidP="000A02E9">
      <w:pPr>
        <w:ind w:firstLine="851"/>
        <w:jc w:val="both"/>
        <w:rPr>
          <w:i/>
        </w:rPr>
      </w:pPr>
      <w:r>
        <w:rPr>
          <w:i/>
        </w:rPr>
        <w:t>187 764</w:t>
      </w:r>
      <w:r w:rsidR="00FF4C5D">
        <w:rPr>
          <w:i/>
        </w:rPr>
        <w:t xml:space="preserve"> </w:t>
      </w:r>
      <w:r w:rsidR="000A02E9" w:rsidRPr="000A02E9">
        <w:rPr>
          <w:i/>
        </w:rPr>
        <w:t xml:space="preserve">грн. </w:t>
      </w:r>
      <w:r w:rsidR="00FF4C5D">
        <w:rPr>
          <w:i/>
        </w:rPr>
        <w:t>0</w:t>
      </w:r>
      <w:r w:rsidR="00535C59">
        <w:rPr>
          <w:i/>
        </w:rPr>
        <w:t>0</w:t>
      </w:r>
      <w:r w:rsidR="000A02E9" w:rsidRPr="000A02E9">
        <w:rPr>
          <w:i/>
        </w:rPr>
        <w:t xml:space="preserve"> коп.</w:t>
      </w:r>
      <w:r w:rsidR="000A02E9">
        <w:rPr>
          <w:i/>
        </w:rPr>
        <w:t xml:space="preserve"> (</w:t>
      </w:r>
      <w:r>
        <w:rPr>
          <w:i/>
        </w:rPr>
        <w:t>Сто вісімдесят сім</w:t>
      </w:r>
      <w:r w:rsidR="00DB2DC5">
        <w:rPr>
          <w:i/>
        </w:rPr>
        <w:t xml:space="preserve"> тисяч</w:t>
      </w:r>
      <w:r>
        <w:rPr>
          <w:i/>
        </w:rPr>
        <w:t xml:space="preserve"> </w:t>
      </w:r>
      <w:r w:rsidR="00FF4C5D">
        <w:rPr>
          <w:i/>
        </w:rPr>
        <w:t>сім</w:t>
      </w:r>
      <w:r w:rsidR="00535C59">
        <w:rPr>
          <w:i/>
        </w:rPr>
        <w:t xml:space="preserve">сот </w:t>
      </w:r>
      <w:r>
        <w:rPr>
          <w:i/>
        </w:rPr>
        <w:t>шістдесят чотири</w:t>
      </w:r>
      <w:r w:rsidR="00535C59">
        <w:rPr>
          <w:i/>
        </w:rPr>
        <w:t xml:space="preserve"> </w:t>
      </w:r>
      <w:r w:rsidR="000A02E9">
        <w:rPr>
          <w:i/>
        </w:rPr>
        <w:t xml:space="preserve">грн. </w:t>
      </w:r>
      <w:r w:rsidR="00FF4C5D">
        <w:rPr>
          <w:i/>
        </w:rPr>
        <w:t>0</w:t>
      </w:r>
      <w:r w:rsidR="00535C59">
        <w:rPr>
          <w:i/>
        </w:rPr>
        <w:t>0</w:t>
      </w:r>
      <w:r w:rsidR="000A02E9">
        <w:rPr>
          <w:i/>
        </w:rPr>
        <w:t xml:space="preserve"> коп.)</w:t>
      </w:r>
      <w:r w:rsidR="00D60A82">
        <w:rPr>
          <w:i/>
        </w:rPr>
        <w:t>;</w:t>
      </w:r>
    </w:p>
    <w:p w14:paraId="4C6C96A4" w14:textId="1F0E1AE8" w:rsidR="002F2112" w:rsidRPr="001B7528" w:rsidRDefault="002F2112" w:rsidP="002F2112">
      <w:pPr>
        <w:ind w:firstLine="851"/>
        <w:jc w:val="both"/>
        <w:rPr>
          <w:b/>
        </w:rPr>
      </w:pPr>
      <w:r>
        <w:rPr>
          <w:b/>
        </w:rPr>
        <w:t xml:space="preserve">Лот </w:t>
      </w:r>
      <w:r>
        <w:rPr>
          <w:b/>
        </w:rPr>
        <w:t xml:space="preserve">2 </w:t>
      </w:r>
      <w:r w:rsidRPr="002F2112">
        <w:rPr>
          <w:b/>
        </w:rPr>
        <w:t xml:space="preserve">(КЕКВ </w:t>
      </w:r>
      <w:r>
        <w:rPr>
          <w:b/>
        </w:rPr>
        <w:t>22</w:t>
      </w:r>
      <w:r w:rsidRPr="002F2112">
        <w:rPr>
          <w:b/>
        </w:rPr>
        <w:t>10):</w:t>
      </w:r>
    </w:p>
    <w:p w14:paraId="7CDBE69E" w14:textId="6CF618A7" w:rsidR="002F2112" w:rsidRPr="000A02E9" w:rsidRDefault="002F2112" w:rsidP="002F2112">
      <w:pPr>
        <w:ind w:firstLine="851"/>
        <w:jc w:val="both"/>
        <w:rPr>
          <w:i/>
        </w:rPr>
      </w:pPr>
      <w:r>
        <w:rPr>
          <w:i/>
        </w:rPr>
        <w:t>53 991</w:t>
      </w:r>
      <w:r>
        <w:rPr>
          <w:i/>
        </w:rPr>
        <w:t xml:space="preserve"> </w:t>
      </w:r>
      <w:r w:rsidRPr="000A02E9">
        <w:rPr>
          <w:i/>
        </w:rPr>
        <w:t xml:space="preserve">грн. </w:t>
      </w:r>
      <w:r>
        <w:rPr>
          <w:i/>
        </w:rPr>
        <w:t>00</w:t>
      </w:r>
      <w:r w:rsidRPr="000A02E9">
        <w:rPr>
          <w:i/>
        </w:rPr>
        <w:t xml:space="preserve"> коп.</w:t>
      </w:r>
      <w:r>
        <w:rPr>
          <w:i/>
        </w:rPr>
        <w:t xml:space="preserve"> (</w:t>
      </w:r>
      <w:r>
        <w:rPr>
          <w:i/>
        </w:rPr>
        <w:t>П’ятдесят три</w:t>
      </w:r>
      <w:r>
        <w:rPr>
          <w:i/>
        </w:rPr>
        <w:t xml:space="preserve"> тисяч</w:t>
      </w:r>
      <w:r>
        <w:rPr>
          <w:i/>
        </w:rPr>
        <w:t>і</w:t>
      </w:r>
      <w:r>
        <w:rPr>
          <w:i/>
        </w:rPr>
        <w:t xml:space="preserve"> </w:t>
      </w:r>
      <w:r>
        <w:rPr>
          <w:i/>
        </w:rPr>
        <w:t>дев’ятсот дев’яносто одна</w:t>
      </w:r>
      <w:r>
        <w:rPr>
          <w:i/>
        </w:rPr>
        <w:t xml:space="preserve"> грн. 00 коп.)</w:t>
      </w:r>
    </w:p>
    <w:p w14:paraId="20F46DE5" w14:textId="425AD2A1" w:rsidR="0081121E" w:rsidRDefault="0081121E" w:rsidP="004668CF">
      <w:pPr>
        <w:jc w:val="both"/>
      </w:pPr>
    </w:p>
    <w:p w14:paraId="11C80CF4" w14:textId="39D20620" w:rsidR="0081121E" w:rsidRPr="001B7528" w:rsidRDefault="0081121E" w:rsidP="0068570D">
      <w:pPr>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340DB747" w:rsidR="0081121E" w:rsidRPr="000A02E9" w:rsidRDefault="000A02E9" w:rsidP="000A02E9">
      <w:pPr>
        <w:ind w:firstLine="851"/>
        <w:jc w:val="both"/>
        <w:rPr>
          <w:i/>
        </w:rPr>
      </w:pPr>
      <w:r w:rsidRPr="00504A49">
        <w:rPr>
          <w:i/>
        </w:rPr>
        <w:t xml:space="preserve">До </w:t>
      </w:r>
      <w:r w:rsidR="00535C59">
        <w:rPr>
          <w:i/>
        </w:rPr>
        <w:t>10</w:t>
      </w:r>
      <w:r w:rsidRPr="00504A49">
        <w:rPr>
          <w:i/>
        </w:rPr>
        <w:t>.</w:t>
      </w:r>
      <w:r w:rsidR="00C240D3" w:rsidRPr="00504A49">
        <w:rPr>
          <w:i/>
        </w:rPr>
        <w:t>1</w:t>
      </w:r>
      <w:r w:rsidR="00504A49" w:rsidRPr="00504A49">
        <w:rPr>
          <w:i/>
        </w:rPr>
        <w:t>1</w:t>
      </w:r>
      <w:r w:rsidRPr="00504A49">
        <w:rPr>
          <w:i/>
        </w:rPr>
        <w:t>.2023 року</w:t>
      </w:r>
      <w:r w:rsidR="00E34B64" w:rsidRPr="00504A49">
        <w:rPr>
          <w:i/>
        </w:rPr>
        <w:t>.</w:t>
      </w:r>
    </w:p>
    <w:p w14:paraId="12B6420D" w14:textId="75109927" w:rsidR="0068570D" w:rsidRDefault="0068570D" w:rsidP="004668CF">
      <w:pPr>
        <w:jc w:val="both"/>
      </w:pPr>
    </w:p>
    <w:p w14:paraId="18D0625C" w14:textId="1ABE9158" w:rsidR="0068570D" w:rsidRPr="001B7528" w:rsidRDefault="0068570D" w:rsidP="0068570D">
      <w:pPr>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27EFB1D3" w:rsidR="000A02E9" w:rsidRPr="000A02E9" w:rsidRDefault="000A02E9" w:rsidP="000A02E9">
      <w:pPr>
        <w:ind w:firstLine="851"/>
        <w:jc w:val="both"/>
        <w:rPr>
          <w:i/>
        </w:rPr>
      </w:pPr>
      <w:r w:rsidRPr="00504A49">
        <w:rPr>
          <w:i/>
        </w:rPr>
        <w:t xml:space="preserve">До </w:t>
      </w:r>
      <w:r w:rsidR="00504A49" w:rsidRPr="00504A49">
        <w:rPr>
          <w:i/>
        </w:rPr>
        <w:t>1</w:t>
      </w:r>
      <w:r w:rsidR="00535C59">
        <w:rPr>
          <w:i/>
        </w:rPr>
        <w:t>5</w:t>
      </w:r>
      <w:r w:rsidR="00E34B64" w:rsidRPr="00504A49">
        <w:rPr>
          <w:i/>
        </w:rPr>
        <w:t>.</w:t>
      </w:r>
      <w:r w:rsidR="00C240D3" w:rsidRPr="00504A49">
        <w:rPr>
          <w:i/>
        </w:rPr>
        <w:t>1</w:t>
      </w:r>
      <w:r w:rsidR="00504A49" w:rsidRPr="00504A49">
        <w:rPr>
          <w:i/>
        </w:rPr>
        <w:t>1</w:t>
      </w:r>
      <w:r w:rsidR="00A217B4" w:rsidRPr="00504A49">
        <w:rPr>
          <w:i/>
        </w:rPr>
        <w:t>.2023 рок</w:t>
      </w:r>
      <w:r w:rsidR="00E34B64" w:rsidRPr="00504A49">
        <w:rPr>
          <w:i/>
        </w:rPr>
        <w:t>у</w:t>
      </w:r>
      <w:r w:rsidR="00DA36AC" w:rsidRPr="00504A49">
        <w:rPr>
          <w:i/>
        </w:rPr>
        <w:t>.</w:t>
      </w:r>
    </w:p>
    <w:p w14:paraId="33832704" w14:textId="497C8EB5" w:rsidR="0068570D" w:rsidRDefault="0068570D" w:rsidP="004668CF">
      <w:pPr>
        <w:jc w:val="both"/>
      </w:pPr>
    </w:p>
    <w:p w14:paraId="38DD4383" w14:textId="13F637CA" w:rsidR="0068570D" w:rsidRPr="001B7528" w:rsidRDefault="0068570D" w:rsidP="0068570D">
      <w:pPr>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1B7528">
      <w:pPr>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D9207F">
      <w:pPr>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4668CF">
      <w:pPr>
        <w:jc w:val="both"/>
      </w:pPr>
    </w:p>
    <w:p w14:paraId="1F9069A4" w14:textId="4866EC80" w:rsidR="0068570D" w:rsidRPr="001B7528" w:rsidRDefault="0068570D" w:rsidP="0068570D">
      <w:pPr>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68570D">
      <w:pPr>
        <w:ind w:firstLine="851"/>
        <w:jc w:val="both"/>
        <w:rPr>
          <w:i/>
        </w:rPr>
      </w:pPr>
      <w:r w:rsidRPr="0068570D">
        <w:rPr>
          <w:i/>
        </w:rPr>
        <w:t>Не вимагається.</w:t>
      </w:r>
    </w:p>
    <w:p w14:paraId="57F528A0" w14:textId="73247849" w:rsidR="0068570D" w:rsidRDefault="0068570D" w:rsidP="004668CF">
      <w:pPr>
        <w:jc w:val="both"/>
      </w:pPr>
    </w:p>
    <w:p w14:paraId="59277384" w14:textId="521D867E" w:rsidR="0068570D" w:rsidRPr="001B7528" w:rsidRDefault="0068570D" w:rsidP="0068570D">
      <w:pPr>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68570D">
      <w:pPr>
        <w:ind w:firstLine="851"/>
        <w:jc w:val="both"/>
        <w:rPr>
          <w:i/>
        </w:rPr>
      </w:pPr>
      <w:r w:rsidRPr="0068570D">
        <w:rPr>
          <w:i/>
        </w:rPr>
        <w:t>Не вимагається.</w:t>
      </w:r>
    </w:p>
    <w:p w14:paraId="433402A3" w14:textId="3D5612D0" w:rsidR="0068570D" w:rsidRDefault="0068570D" w:rsidP="004668CF">
      <w:pPr>
        <w:jc w:val="both"/>
      </w:pPr>
    </w:p>
    <w:p w14:paraId="2A1C891C" w14:textId="53FE403D" w:rsidR="0068570D" w:rsidRPr="001B7528" w:rsidRDefault="0068570D" w:rsidP="0068570D">
      <w:pPr>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68570D">
      <w:pPr>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4668CF">
      <w:pPr>
        <w:jc w:val="both"/>
      </w:pPr>
    </w:p>
    <w:p w14:paraId="2ED4AC55" w14:textId="2269DD20" w:rsidR="0068570D" w:rsidRPr="001B7528" w:rsidRDefault="0068570D" w:rsidP="0068570D">
      <w:pPr>
        <w:ind w:firstLine="851"/>
        <w:jc w:val="both"/>
        <w:rPr>
          <w:b/>
        </w:rPr>
      </w:pPr>
      <w:r w:rsidRPr="001B7528">
        <w:rPr>
          <w:b/>
        </w:rPr>
        <w:t>14. Інша інформація:</w:t>
      </w:r>
    </w:p>
    <w:p w14:paraId="0B474D2F" w14:textId="59815144" w:rsidR="008C6EC0" w:rsidRDefault="0068570D" w:rsidP="008C6EC0">
      <w:pPr>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8C6EC0">
      <w:pPr>
        <w:ind w:firstLine="851"/>
        <w:jc w:val="both"/>
        <w:rPr>
          <w:b/>
          <w:i/>
        </w:rPr>
      </w:pPr>
      <w:r w:rsidRPr="008C6EC0">
        <w:rPr>
          <w:b/>
          <w:i/>
        </w:rPr>
        <w:t>Для юридичних осіб:</w:t>
      </w:r>
    </w:p>
    <w:p w14:paraId="50B29544" w14:textId="1714D846" w:rsidR="008C6EC0" w:rsidRPr="008C6EC0" w:rsidRDefault="008C6EC0" w:rsidP="008C6EC0">
      <w:pPr>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8C6EC0">
      <w:pPr>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8C6EC0">
      <w:pPr>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7A0B651C" w:rsidR="008C6EC0" w:rsidRDefault="008C6EC0" w:rsidP="008C6EC0">
      <w:pPr>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4291D794" w14:textId="4A081A72" w:rsidR="00F30A32" w:rsidRDefault="00F30A32" w:rsidP="00F30A32">
      <w:pPr>
        <w:ind w:firstLine="851"/>
        <w:jc w:val="both"/>
        <w:rPr>
          <w:i/>
        </w:rPr>
      </w:pPr>
      <w:r>
        <w:rPr>
          <w:i/>
        </w:rPr>
        <w:t>-</w:t>
      </w:r>
      <w:r w:rsidRPr="00F30A32">
        <w:rPr>
          <w:i/>
        </w:rPr>
        <w:t xml:space="preserve"> </w:t>
      </w:r>
      <w:r>
        <w:rPr>
          <w:i/>
        </w:rPr>
        <w:t>д</w:t>
      </w:r>
      <w:r w:rsidRPr="00F30A32">
        <w:rPr>
          <w:i/>
        </w:rPr>
        <w:t>окументальне підтвердження відповідності технічним, якісним, кількісним та іншим вимогам предмета закупівлі:</w:t>
      </w:r>
    </w:p>
    <w:p w14:paraId="33EB6766" w14:textId="785EA7C6" w:rsidR="00535C59" w:rsidRPr="00F30A32" w:rsidRDefault="00535C59" w:rsidP="00F30A32">
      <w:pPr>
        <w:ind w:firstLine="851"/>
        <w:jc w:val="both"/>
        <w:rPr>
          <w:i/>
        </w:rPr>
      </w:pPr>
      <w:r w:rsidRPr="00535C59">
        <w:rPr>
          <w:i/>
        </w:rPr>
        <w:t xml:space="preserve">- </w:t>
      </w:r>
      <w:r w:rsidR="00EB3E97">
        <w:rPr>
          <w:i/>
        </w:rPr>
        <w:t>у</w:t>
      </w:r>
      <w:r w:rsidRPr="00535C59">
        <w:rPr>
          <w:i/>
        </w:rPr>
        <w:t>часник надає порівняльну таблицю технічних характеристик, заявлених Замовником та товару, що пропонується, у довільній формі з зазначенням конкретного найменування запропонованого товару;</w:t>
      </w:r>
    </w:p>
    <w:p w14:paraId="2A2D68BF" w14:textId="77777777" w:rsidR="008C6EC0" w:rsidRPr="008C6EC0" w:rsidRDefault="008C6EC0" w:rsidP="008C6EC0">
      <w:pPr>
        <w:ind w:firstLine="851"/>
        <w:jc w:val="both"/>
        <w:rPr>
          <w:b/>
          <w:i/>
        </w:rPr>
      </w:pPr>
      <w:r w:rsidRPr="008C6EC0">
        <w:rPr>
          <w:b/>
          <w:i/>
        </w:rPr>
        <w:t>Для фізичних осіб-підприємців:</w:t>
      </w:r>
    </w:p>
    <w:p w14:paraId="2B18261A" w14:textId="77777777" w:rsidR="008C6EC0" w:rsidRPr="008C6EC0" w:rsidRDefault="008C6EC0" w:rsidP="00650C70">
      <w:pPr>
        <w:ind w:firstLine="851"/>
        <w:jc w:val="both"/>
        <w:rPr>
          <w:i/>
        </w:rPr>
      </w:pPr>
      <w:r w:rsidRPr="008C6EC0">
        <w:rPr>
          <w:i/>
        </w:rPr>
        <w:t xml:space="preserve">- цінову пропозицію відповідно наданої форми ( Додаток №2); </w:t>
      </w:r>
    </w:p>
    <w:p w14:paraId="587A8E8F" w14:textId="0E1437D5" w:rsidR="008C6EC0" w:rsidRPr="008C6EC0" w:rsidRDefault="00650C70" w:rsidP="001B5247">
      <w:pPr>
        <w:tabs>
          <w:tab w:val="left" w:pos="5812"/>
        </w:tabs>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8AE991B" w:rsidR="008C6EC0" w:rsidRPr="008C6EC0" w:rsidRDefault="00AD607B" w:rsidP="00650C70">
      <w:pPr>
        <w:ind w:firstLine="851"/>
        <w:jc w:val="both"/>
        <w:rPr>
          <w:i/>
        </w:rPr>
      </w:pPr>
      <w:r>
        <w:rPr>
          <w:i/>
        </w:rPr>
        <w:lastRenderedPageBreak/>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3EA9FB59" w14:textId="33ABE6B5" w:rsidR="00F30A32" w:rsidRDefault="00F30A32" w:rsidP="00F30A32">
      <w:pPr>
        <w:ind w:firstLine="851"/>
        <w:jc w:val="both"/>
        <w:rPr>
          <w:i/>
        </w:rPr>
      </w:pPr>
      <w:r>
        <w:rPr>
          <w:i/>
        </w:rPr>
        <w:t>-</w:t>
      </w:r>
      <w:r w:rsidRPr="00F30A32">
        <w:rPr>
          <w:i/>
        </w:rPr>
        <w:t xml:space="preserve"> </w:t>
      </w:r>
      <w:r>
        <w:rPr>
          <w:i/>
        </w:rPr>
        <w:t>д</w:t>
      </w:r>
      <w:r w:rsidRPr="00F30A32">
        <w:rPr>
          <w:i/>
        </w:rPr>
        <w:t>окументальне підтвердження відповідності технічним, якісним, кількісним та іншим вимогам предмета закупівлі:</w:t>
      </w:r>
    </w:p>
    <w:p w14:paraId="64BE6FD7" w14:textId="484CAC6A" w:rsidR="00535C59" w:rsidRPr="00F30A32" w:rsidRDefault="00535C59" w:rsidP="00F30A32">
      <w:pPr>
        <w:ind w:firstLine="851"/>
        <w:jc w:val="both"/>
        <w:rPr>
          <w:i/>
        </w:rPr>
      </w:pPr>
      <w:r w:rsidRPr="00535C59">
        <w:rPr>
          <w:i/>
        </w:rPr>
        <w:t xml:space="preserve">- </w:t>
      </w:r>
      <w:r w:rsidR="00EB3E97">
        <w:rPr>
          <w:i/>
        </w:rPr>
        <w:t>у</w:t>
      </w:r>
      <w:r w:rsidRPr="00535C59">
        <w:rPr>
          <w:i/>
        </w:rPr>
        <w:t>часник надає порівняльну таблицю технічних характеристик, заявлених Замовником та товару, що пропонується</w:t>
      </w:r>
      <w:r>
        <w:rPr>
          <w:i/>
        </w:rPr>
        <w:t>,</w:t>
      </w:r>
      <w:r w:rsidRPr="00535C59">
        <w:rPr>
          <w:i/>
        </w:rPr>
        <w:t xml:space="preserve"> у довільній формі</w:t>
      </w:r>
      <w:r>
        <w:rPr>
          <w:i/>
        </w:rPr>
        <w:t xml:space="preserve"> з зазначенням конкретного найменування запропонованого товару</w:t>
      </w:r>
      <w:r w:rsidRPr="00535C59">
        <w:rPr>
          <w:i/>
        </w:rPr>
        <w:t>;</w:t>
      </w:r>
    </w:p>
    <w:p w14:paraId="157E65F9" w14:textId="7201F0AD" w:rsidR="0068570D" w:rsidRPr="00C476DF" w:rsidRDefault="0068570D" w:rsidP="00C476DF">
      <w:pPr>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 xml:space="preserve">транспортування,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C476DF">
      <w:pPr>
        <w:ind w:firstLine="851"/>
        <w:jc w:val="both"/>
      </w:pPr>
    </w:p>
    <w:p w14:paraId="2D1AB8AE" w14:textId="5E7B7660" w:rsidR="0068570D" w:rsidRPr="00C476DF" w:rsidRDefault="0068570D" w:rsidP="00C476DF">
      <w:pPr>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C476DF">
      <w:pPr>
        <w:ind w:firstLine="851"/>
        <w:jc w:val="both"/>
      </w:pPr>
    </w:p>
    <w:p w14:paraId="752BC007" w14:textId="052C6B77" w:rsidR="0068570D" w:rsidRPr="00C476DF" w:rsidRDefault="0068570D" w:rsidP="00C476DF">
      <w:pPr>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C476DF">
      <w:pPr>
        <w:ind w:firstLine="851"/>
        <w:jc w:val="both"/>
      </w:pPr>
    </w:p>
    <w:p w14:paraId="48AECC3A" w14:textId="77777777" w:rsidR="00534D83" w:rsidRPr="00C476DF" w:rsidRDefault="0068570D" w:rsidP="00534D83">
      <w:pPr>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C476DF">
      <w:pPr>
        <w:ind w:firstLine="851"/>
        <w:jc w:val="both"/>
      </w:pPr>
    </w:p>
    <w:p w14:paraId="054DCDBB" w14:textId="36C9797C" w:rsidR="000B3960" w:rsidRPr="000B3960" w:rsidRDefault="0068570D" w:rsidP="000B3960">
      <w:pPr>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B3960">
      <w:pPr>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B3960">
      <w:pPr>
        <w:ind w:firstLine="851"/>
        <w:jc w:val="both"/>
        <w:rPr>
          <w:i/>
          <w:color w:val="000000"/>
        </w:rPr>
      </w:pPr>
    </w:p>
    <w:p w14:paraId="1A8EA726" w14:textId="77777777" w:rsidR="000B3960" w:rsidRPr="000B3960" w:rsidRDefault="000B3960" w:rsidP="000B3960">
      <w:pPr>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B3960">
      <w:pPr>
        <w:ind w:firstLine="851"/>
        <w:jc w:val="both"/>
        <w:rPr>
          <w:i/>
          <w:color w:val="000000"/>
        </w:rPr>
      </w:pPr>
    </w:p>
    <w:p w14:paraId="70E97210" w14:textId="77777777" w:rsidR="000B3960" w:rsidRPr="000B3960" w:rsidRDefault="000B3960" w:rsidP="000B3960">
      <w:pPr>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B3960">
      <w:pPr>
        <w:ind w:firstLine="851"/>
        <w:jc w:val="both"/>
        <w:rPr>
          <w:i/>
          <w:color w:val="000000"/>
        </w:rPr>
      </w:pPr>
    </w:p>
    <w:p w14:paraId="2F809358" w14:textId="43ABE453" w:rsidR="000B3960" w:rsidRDefault="000B3960" w:rsidP="000B3960">
      <w:pPr>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B683516" w14:textId="77777777" w:rsidR="000B3960" w:rsidRDefault="000B3960" w:rsidP="008265D0">
      <w:pPr>
        <w:ind w:firstLine="851"/>
        <w:jc w:val="both"/>
        <w:rPr>
          <w:i/>
        </w:rPr>
      </w:pPr>
    </w:p>
    <w:p w14:paraId="5CBE0A3F" w14:textId="1DCDCE3C" w:rsidR="008265D0" w:rsidRPr="00C476DF" w:rsidRDefault="000B3960" w:rsidP="008265D0">
      <w:pPr>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C476DF">
      <w:pPr>
        <w:ind w:firstLine="851"/>
        <w:jc w:val="both"/>
        <w:rPr>
          <w:i/>
          <w:color w:val="000000"/>
        </w:rPr>
      </w:pPr>
    </w:p>
    <w:p w14:paraId="34F77104" w14:textId="11DE0EA2" w:rsidR="000B3960" w:rsidRPr="000B3960" w:rsidRDefault="000B3960" w:rsidP="000B3960">
      <w:pPr>
        <w:ind w:firstLine="851"/>
        <w:jc w:val="both"/>
        <w:rPr>
          <w:i/>
          <w:color w:val="000000"/>
        </w:rPr>
      </w:pPr>
      <w:r>
        <w:rPr>
          <w:i/>
          <w:color w:val="000000"/>
        </w:rPr>
        <w:t>14.</w:t>
      </w:r>
      <w:r w:rsidR="00C75E3B">
        <w:rPr>
          <w:i/>
          <w:color w:val="000000"/>
        </w:rPr>
        <w:t>8.</w:t>
      </w:r>
      <w:r w:rsidRPr="000B3960">
        <w:rPr>
          <w:i/>
          <w:color w:val="000000"/>
        </w:rPr>
        <w:t xml:space="preserve"> Усі визначені</w:t>
      </w:r>
      <w:r>
        <w:rPr>
          <w:i/>
          <w:color w:val="000000"/>
        </w:rPr>
        <w:t xml:space="preserve"> цією документацією документи </w:t>
      </w:r>
      <w:r w:rsidRPr="000B3960">
        <w:rPr>
          <w:i/>
          <w:color w:val="000000"/>
        </w:rPr>
        <w:t xml:space="preserve">пропозиції завантажуються в електронну систему закупівель у вигляді </w:t>
      </w:r>
      <w:proofErr w:type="spellStart"/>
      <w:r w:rsidRPr="000B3960">
        <w:rPr>
          <w:i/>
          <w:color w:val="000000"/>
        </w:rPr>
        <w:t>скан</w:t>
      </w:r>
      <w:proofErr w:type="spellEnd"/>
      <w:r>
        <w:rPr>
          <w:i/>
          <w:color w:val="000000"/>
        </w:rPr>
        <w:t>-копій, (файли з розширенням «.</w:t>
      </w:r>
      <w:proofErr w:type="spellStart"/>
      <w:r>
        <w:rPr>
          <w:i/>
          <w:color w:val="000000"/>
        </w:rPr>
        <w:t>pdf</w:t>
      </w:r>
      <w:proofErr w:type="spellEnd"/>
      <w:r>
        <w:rPr>
          <w:i/>
          <w:color w:val="000000"/>
        </w:rPr>
        <w:t>.», «.</w:t>
      </w:r>
      <w:proofErr w:type="spellStart"/>
      <w:r w:rsidRPr="000B3960">
        <w:rPr>
          <w:i/>
          <w:color w:val="000000"/>
        </w:rPr>
        <w:t>jpeg</w:t>
      </w:r>
      <w:proofErr w:type="spellEnd"/>
      <w:r w:rsidRPr="000B3960">
        <w:rPr>
          <w:i/>
          <w:color w:val="000000"/>
        </w:rPr>
        <w:t xml:space="preserve">.» тощо), зміст та вигляд яких повинен відповідати оригіналам відповідних документів, </w:t>
      </w:r>
      <w:r w:rsidRPr="000B3960">
        <w:rPr>
          <w:i/>
          <w:color w:val="000000"/>
        </w:rPr>
        <w:lastRenderedPageBreak/>
        <w:t xml:space="preserve">згідно з якими виготовляються такі </w:t>
      </w:r>
      <w:proofErr w:type="spellStart"/>
      <w:r w:rsidRPr="000B3960">
        <w:rPr>
          <w:i/>
          <w:color w:val="000000"/>
        </w:rPr>
        <w:t>скан</w:t>
      </w:r>
      <w:proofErr w:type="spellEnd"/>
      <w:r w:rsidRPr="000B3960">
        <w:rPr>
          <w:i/>
          <w:color w:val="000000"/>
        </w:rPr>
        <w:t>-копії. Докумен</w:t>
      </w:r>
      <w:r>
        <w:rPr>
          <w:i/>
          <w:color w:val="000000"/>
        </w:rPr>
        <w:t xml:space="preserve">ти, що складаються учасником, </w:t>
      </w:r>
      <w:r w:rsidRPr="000B3960">
        <w:rPr>
          <w:i/>
          <w:color w:val="000000"/>
        </w:rPr>
        <w:t xml:space="preserve">повинні бути оформлені належним чином у </w:t>
      </w:r>
      <w:r>
        <w:rPr>
          <w:i/>
          <w:color w:val="000000"/>
        </w:rPr>
        <w:t xml:space="preserve">відповідності до вимог чинного </w:t>
      </w:r>
      <w:r w:rsidRPr="000B3960">
        <w:rPr>
          <w:i/>
          <w:color w:val="000000"/>
        </w:rPr>
        <w:t>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700C120" w14:textId="559D3AB6" w:rsidR="000B3960" w:rsidRDefault="000B3960" w:rsidP="000B3960">
      <w:pPr>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0BE234BB" w14:textId="3824208F" w:rsidR="00812EB7" w:rsidRDefault="00812EB7" w:rsidP="000B3960">
      <w:pPr>
        <w:ind w:firstLine="851"/>
        <w:jc w:val="both"/>
        <w:rPr>
          <w:i/>
          <w:color w:val="000000"/>
        </w:rPr>
      </w:pPr>
      <w:r>
        <w:rPr>
          <w:i/>
          <w:color w:val="000000"/>
        </w:rPr>
        <w:t>14.9. Перелік формальних помилок, допущення яких не призведе до відхилення пропозиції Учасника:</w:t>
      </w:r>
    </w:p>
    <w:p w14:paraId="422571D3" w14:textId="2B2DBBBD" w:rsidR="00812EB7" w:rsidRPr="00812EB7" w:rsidRDefault="00812EB7" w:rsidP="00812EB7">
      <w:pPr>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7806A606" w14:textId="77777777" w:rsidR="00812EB7" w:rsidRPr="00812EB7" w:rsidRDefault="00812EB7" w:rsidP="00812EB7">
      <w:pPr>
        <w:ind w:firstLine="851"/>
        <w:jc w:val="both"/>
        <w:rPr>
          <w:i/>
          <w:color w:val="000000"/>
        </w:rPr>
      </w:pPr>
      <w:r w:rsidRPr="00812EB7">
        <w:rPr>
          <w:i/>
          <w:color w:val="000000"/>
        </w:rPr>
        <w:t>уживання великої літери;</w:t>
      </w:r>
    </w:p>
    <w:p w14:paraId="0062B625" w14:textId="77777777" w:rsidR="00812EB7" w:rsidRPr="00812EB7" w:rsidRDefault="00812EB7" w:rsidP="00812EB7">
      <w:pPr>
        <w:ind w:firstLine="851"/>
        <w:jc w:val="both"/>
        <w:rPr>
          <w:i/>
          <w:color w:val="000000"/>
        </w:rPr>
      </w:pPr>
      <w:r w:rsidRPr="00812EB7">
        <w:rPr>
          <w:i/>
          <w:color w:val="000000"/>
        </w:rPr>
        <w:t>уживання розділових знаків та відмінювання слів у реченні;</w:t>
      </w:r>
    </w:p>
    <w:p w14:paraId="204D793E" w14:textId="77777777" w:rsidR="00812EB7" w:rsidRPr="00812EB7" w:rsidRDefault="00812EB7" w:rsidP="00812EB7">
      <w:pPr>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0D70E6F5" w14:textId="77777777" w:rsidR="00812EB7" w:rsidRPr="00812EB7" w:rsidRDefault="00812EB7" w:rsidP="00812EB7">
      <w:pPr>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D0E661" w14:textId="77777777" w:rsidR="00812EB7" w:rsidRPr="00812EB7" w:rsidRDefault="00812EB7" w:rsidP="00812EB7">
      <w:pPr>
        <w:ind w:firstLine="851"/>
        <w:jc w:val="both"/>
        <w:rPr>
          <w:i/>
          <w:color w:val="000000"/>
        </w:rPr>
      </w:pPr>
      <w:r w:rsidRPr="00812EB7">
        <w:rPr>
          <w:i/>
          <w:color w:val="000000"/>
        </w:rPr>
        <w:t>застосування правил переносу частини слова з рядка в рядок;</w:t>
      </w:r>
    </w:p>
    <w:p w14:paraId="70DABA2F" w14:textId="77777777" w:rsidR="00812EB7" w:rsidRPr="00812EB7" w:rsidRDefault="00812EB7" w:rsidP="00812EB7">
      <w:pPr>
        <w:ind w:firstLine="851"/>
        <w:jc w:val="both"/>
        <w:rPr>
          <w:i/>
          <w:color w:val="000000"/>
        </w:rPr>
      </w:pPr>
      <w:r w:rsidRPr="00812EB7">
        <w:rPr>
          <w:i/>
          <w:color w:val="000000"/>
        </w:rPr>
        <w:t>написання слів разом та/або окремо, та/або через дефіс;</w:t>
      </w:r>
    </w:p>
    <w:p w14:paraId="475786D1" w14:textId="77777777" w:rsidR="00812EB7" w:rsidRPr="00812EB7" w:rsidRDefault="00812EB7" w:rsidP="00812EB7">
      <w:pPr>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8022E7" w14:textId="186114D3" w:rsidR="00812EB7" w:rsidRPr="00812EB7" w:rsidRDefault="00812EB7" w:rsidP="00812EB7">
      <w:pPr>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00D118" w14:textId="3DE50563" w:rsidR="00812EB7" w:rsidRPr="00812EB7" w:rsidRDefault="00812EB7" w:rsidP="00812EB7">
      <w:pPr>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2C38824F" w14:textId="2962B16F" w:rsidR="00812EB7" w:rsidRPr="00812EB7" w:rsidRDefault="00812EB7" w:rsidP="00812EB7">
      <w:pPr>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07950FB8" w14:textId="160C84A1" w:rsidR="00812EB7" w:rsidRPr="00812EB7" w:rsidRDefault="00812EB7" w:rsidP="00812EB7">
      <w:pPr>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EF6851" w14:textId="42FBE360" w:rsidR="00812EB7" w:rsidRPr="00812EB7" w:rsidRDefault="00812EB7" w:rsidP="00812EB7">
      <w:pPr>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186D8" w14:textId="3FF40254" w:rsidR="00812EB7" w:rsidRPr="00812EB7" w:rsidRDefault="00812EB7" w:rsidP="00812EB7">
      <w:pPr>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2C3A854E" w14:textId="3F8AD5F6" w:rsidR="00812EB7" w:rsidRPr="00812EB7" w:rsidRDefault="00812EB7" w:rsidP="00812EB7">
      <w:pPr>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CDFEA16" w14:textId="33F41803" w:rsidR="00812EB7" w:rsidRPr="00812EB7" w:rsidRDefault="00812EB7" w:rsidP="00812EB7">
      <w:pPr>
        <w:ind w:firstLine="851"/>
        <w:jc w:val="both"/>
        <w:rPr>
          <w:i/>
          <w:color w:val="000000"/>
        </w:rPr>
      </w:pPr>
      <w:r w:rsidRPr="00812EB7">
        <w:rPr>
          <w:i/>
          <w:color w:val="000000"/>
        </w:rPr>
        <w:lastRenderedPageBreak/>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B757F6" w14:textId="2334D212" w:rsidR="00812EB7" w:rsidRPr="00812EB7" w:rsidRDefault="00812EB7" w:rsidP="00812EB7">
      <w:pPr>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E7C1B1" w14:textId="459D431B" w:rsidR="00812EB7" w:rsidRPr="00812EB7" w:rsidRDefault="00812EB7" w:rsidP="00812EB7">
      <w:pPr>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024FD94F" w14:textId="29058061" w:rsidR="00812EB7" w:rsidRDefault="00812EB7" w:rsidP="00812EB7">
      <w:pPr>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18AC63BB" w14:textId="5D7401C6" w:rsidR="00C476DF" w:rsidRDefault="00534D83" w:rsidP="00812EB7">
      <w:pPr>
        <w:ind w:firstLine="851"/>
        <w:jc w:val="both"/>
        <w:rPr>
          <w:i/>
          <w:color w:val="000000"/>
        </w:rPr>
      </w:pPr>
      <w:r>
        <w:rPr>
          <w:i/>
          <w:color w:val="000000"/>
        </w:rPr>
        <w:t>14.</w:t>
      </w:r>
      <w:r w:rsidR="00812EB7">
        <w:rPr>
          <w:i/>
          <w:color w:val="000000"/>
        </w:rPr>
        <w:t>0</w:t>
      </w:r>
      <w:r>
        <w:rPr>
          <w:i/>
          <w:color w:val="000000"/>
        </w:rPr>
        <w:t xml:space="preserve">.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4804BE79" w14:textId="77777777" w:rsidR="00534D83" w:rsidRPr="00534D83" w:rsidRDefault="00534D83" w:rsidP="004668CF">
      <w:pPr>
        <w:rPr>
          <w:color w:val="000000"/>
          <w:szCs w:val="44"/>
        </w:rPr>
      </w:pPr>
    </w:p>
    <w:p w14:paraId="160A475A" w14:textId="77777777" w:rsidR="00DA36AF" w:rsidRPr="000E75C3" w:rsidRDefault="00DA36AF" w:rsidP="004668CF">
      <w:pPr>
        <w:pStyle w:val="a4"/>
        <w:spacing w:before="0" w:beforeAutospacing="0" w:after="0" w:afterAutospacing="0"/>
        <w:jc w:val="both"/>
        <w:rPr>
          <w:b/>
          <w:color w:val="000000"/>
        </w:rPr>
      </w:pPr>
      <w:r w:rsidRPr="000E75C3">
        <w:rPr>
          <w:b/>
          <w:color w:val="000000"/>
        </w:rPr>
        <w:t>Додатки до оголошення:</w:t>
      </w:r>
    </w:p>
    <w:p w14:paraId="23600D02" w14:textId="77777777" w:rsidR="00DA36AF" w:rsidRPr="00C67114" w:rsidRDefault="00DA36AF" w:rsidP="004668CF">
      <w:pPr>
        <w:pStyle w:val="a4"/>
        <w:spacing w:before="0" w:beforeAutospacing="0" w:after="0" w:afterAutospacing="0"/>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206E946" w:rsidR="00DA36AF" w:rsidRDefault="00DA36AF" w:rsidP="004668CF">
      <w:pPr>
        <w:pStyle w:val="a4"/>
        <w:spacing w:before="0" w:beforeAutospacing="0" w:after="0" w:afterAutospacing="0"/>
        <w:jc w:val="both"/>
        <w:rPr>
          <w:color w:val="000000"/>
        </w:rPr>
      </w:pPr>
      <w:r w:rsidRPr="006A41ED">
        <w:rPr>
          <w:b/>
          <w:i/>
          <w:color w:val="000000"/>
        </w:rPr>
        <w:t>Додаток №2</w:t>
      </w:r>
      <w:r w:rsidRPr="00C67114">
        <w:rPr>
          <w:color w:val="000000"/>
        </w:rPr>
        <w:t xml:space="preserve"> </w:t>
      </w:r>
      <w:r w:rsidR="00D677CA">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6CFA0DC5" w:rsidR="007F361E" w:rsidRDefault="00DA36AF" w:rsidP="004668CF">
      <w:pPr>
        <w:pStyle w:val="a4"/>
        <w:spacing w:before="0" w:beforeAutospacing="0" w:after="0" w:afterAutospacing="0"/>
        <w:jc w:val="both"/>
        <w:rPr>
          <w:bCs/>
          <w:szCs w:val="26"/>
        </w:rPr>
      </w:pPr>
      <w:r w:rsidRPr="006A41ED">
        <w:rPr>
          <w:b/>
          <w:i/>
          <w:color w:val="000000"/>
        </w:rPr>
        <w:t>Додаток №3</w:t>
      </w:r>
      <w:r>
        <w:rPr>
          <w:color w:val="000000"/>
        </w:rPr>
        <w:t xml:space="preserve"> </w:t>
      </w:r>
      <w:r w:rsidR="00D677CA">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4668CF">
      <w:pPr>
        <w:jc w:val="both"/>
      </w:pPr>
    </w:p>
    <w:p w14:paraId="2B4A8A2B" w14:textId="77777777" w:rsidR="00F8603F" w:rsidRPr="00F8603F" w:rsidRDefault="00F8603F" w:rsidP="004668CF">
      <w:pPr>
        <w:jc w:val="both"/>
      </w:pPr>
    </w:p>
    <w:p w14:paraId="42542C9F" w14:textId="77777777" w:rsidR="00F8603F" w:rsidRDefault="00F8603F" w:rsidP="00F8603F">
      <w:pPr>
        <w:jc w:val="both"/>
      </w:pPr>
      <w:r>
        <w:t>Уповноважена особа з публічних закупівель</w:t>
      </w:r>
    </w:p>
    <w:p w14:paraId="703AF212" w14:textId="184CE47B" w:rsidR="007A7563" w:rsidRPr="00F16A27" w:rsidRDefault="00F8603F" w:rsidP="00F16A27">
      <w:pPr>
        <w:tabs>
          <w:tab w:val="left" w:pos="6804"/>
        </w:tabs>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43C0A"/>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F1755"/>
    <w:rsid w:val="00105464"/>
    <w:rsid w:val="001117B1"/>
    <w:rsid w:val="00117514"/>
    <w:rsid w:val="00140C83"/>
    <w:rsid w:val="00152ACD"/>
    <w:rsid w:val="00154310"/>
    <w:rsid w:val="00160D0C"/>
    <w:rsid w:val="00167AB7"/>
    <w:rsid w:val="00171A6D"/>
    <w:rsid w:val="001817E0"/>
    <w:rsid w:val="001A0BA1"/>
    <w:rsid w:val="001B4182"/>
    <w:rsid w:val="001B5247"/>
    <w:rsid w:val="001B7528"/>
    <w:rsid w:val="001B7D49"/>
    <w:rsid w:val="001E40C1"/>
    <w:rsid w:val="001E633F"/>
    <w:rsid w:val="001F03B6"/>
    <w:rsid w:val="002019EB"/>
    <w:rsid w:val="0020320B"/>
    <w:rsid w:val="002060D2"/>
    <w:rsid w:val="002108DB"/>
    <w:rsid w:val="00210908"/>
    <w:rsid w:val="0021671B"/>
    <w:rsid w:val="00223738"/>
    <w:rsid w:val="00223B54"/>
    <w:rsid w:val="00225B95"/>
    <w:rsid w:val="0024125E"/>
    <w:rsid w:val="002426B3"/>
    <w:rsid w:val="002460EE"/>
    <w:rsid w:val="00251D8E"/>
    <w:rsid w:val="00252080"/>
    <w:rsid w:val="002523F9"/>
    <w:rsid w:val="00257E74"/>
    <w:rsid w:val="002654E1"/>
    <w:rsid w:val="002757F6"/>
    <w:rsid w:val="0028190A"/>
    <w:rsid w:val="00285FD2"/>
    <w:rsid w:val="0029092E"/>
    <w:rsid w:val="00293261"/>
    <w:rsid w:val="002B6BD7"/>
    <w:rsid w:val="002C0839"/>
    <w:rsid w:val="002C08A1"/>
    <w:rsid w:val="002D0031"/>
    <w:rsid w:val="002E0BCF"/>
    <w:rsid w:val="002E2BA4"/>
    <w:rsid w:val="002F2112"/>
    <w:rsid w:val="002F7B7D"/>
    <w:rsid w:val="00300140"/>
    <w:rsid w:val="00301EB7"/>
    <w:rsid w:val="00301FBA"/>
    <w:rsid w:val="00302F0A"/>
    <w:rsid w:val="0032297B"/>
    <w:rsid w:val="003253D5"/>
    <w:rsid w:val="003306A3"/>
    <w:rsid w:val="003310E0"/>
    <w:rsid w:val="00345936"/>
    <w:rsid w:val="00356C6C"/>
    <w:rsid w:val="0036186C"/>
    <w:rsid w:val="00365E7B"/>
    <w:rsid w:val="00370DA2"/>
    <w:rsid w:val="0037218B"/>
    <w:rsid w:val="00377818"/>
    <w:rsid w:val="00386CB7"/>
    <w:rsid w:val="00394181"/>
    <w:rsid w:val="003A0EB4"/>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80A8A"/>
    <w:rsid w:val="004A24EA"/>
    <w:rsid w:val="004A3E1D"/>
    <w:rsid w:val="004A4BC3"/>
    <w:rsid w:val="004B41D4"/>
    <w:rsid w:val="004B5535"/>
    <w:rsid w:val="004B5670"/>
    <w:rsid w:val="004C00EA"/>
    <w:rsid w:val="004C5683"/>
    <w:rsid w:val="004C56AE"/>
    <w:rsid w:val="004D26E6"/>
    <w:rsid w:val="004D61D4"/>
    <w:rsid w:val="004E5906"/>
    <w:rsid w:val="00504A49"/>
    <w:rsid w:val="005078D4"/>
    <w:rsid w:val="00513044"/>
    <w:rsid w:val="0051633B"/>
    <w:rsid w:val="005203A4"/>
    <w:rsid w:val="005268E1"/>
    <w:rsid w:val="005305D2"/>
    <w:rsid w:val="00534D83"/>
    <w:rsid w:val="00535C59"/>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C03E5"/>
    <w:rsid w:val="005C171D"/>
    <w:rsid w:val="005D0B8F"/>
    <w:rsid w:val="005D63C0"/>
    <w:rsid w:val="005E2878"/>
    <w:rsid w:val="005E5799"/>
    <w:rsid w:val="005F1118"/>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D6074"/>
    <w:rsid w:val="007E2958"/>
    <w:rsid w:val="007E6368"/>
    <w:rsid w:val="007F361E"/>
    <w:rsid w:val="008005AA"/>
    <w:rsid w:val="00804779"/>
    <w:rsid w:val="0081121E"/>
    <w:rsid w:val="00811ECD"/>
    <w:rsid w:val="008126CB"/>
    <w:rsid w:val="0081295D"/>
    <w:rsid w:val="00812EB7"/>
    <w:rsid w:val="00815FAE"/>
    <w:rsid w:val="00817391"/>
    <w:rsid w:val="00821826"/>
    <w:rsid w:val="00822D39"/>
    <w:rsid w:val="008265D0"/>
    <w:rsid w:val="0083584A"/>
    <w:rsid w:val="0084103A"/>
    <w:rsid w:val="00847A2E"/>
    <w:rsid w:val="00851BB5"/>
    <w:rsid w:val="0085284D"/>
    <w:rsid w:val="008779CC"/>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6C7"/>
    <w:rsid w:val="009A2EB8"/>
    <w:rsid w:val="009C044C"/>
    <w:rsid w:val="009C2967"/>
    <w:rsid w:val="009C3B60"/>
    <w:rsid w:val="009E63E5"/>
    <w:rsid w:val="009E7FCF"/>
    <w:rsid w:val="009F563C"/>
    <w:rsid w:val="00A06840"/>
    <w:rsid w:val="00A14C75"/>
    <w:rsid w:val="00A217B4"/>
    <w:rsid w:val="00A22A94"/>
    <w:rsid w:val="00A22B37"/>
    <w:rsid w:val="00A24C20"/>
    <w:rsid w:val="00A256B5"/>
    <w:rsid w:val="00A378EC"/>
    <w:rsid w:val="00A37EAB"/>
    <w:rsid w:val="00A50761"/>
    <w:rsid w:val="00A51079"/>
    <w:rsid w:val="00A52B68"/>
    <w:rsid w:val="00A5428D"/>
    <w:rsid w:val="00A54466"/>
    <w:rsid w:val="00A560E7"/>
    <w:rsid w:val="00A806F1"/>
    <w:rsid w:val="00A83FB2"/>
    <w:rsid w:val="00A840DD"/>
    <w:rsid w:val="00A94B23"/>
    <w:rsid w:val="00A94FBF"/>
    <w:rsid w:val="00A97D34"/>
    <w:rsid w:val="00AA3327"/>
    <w:rsid w:val="00AA6891"/>
    <w:rsid w:val="00AB15EE"/>
    <w:rsid w:val="00AC311A"/>
    <w:rsid w:val="00AC65C6"/>
    <w:rsid w:val="00AC7356"/>
    <w:rsid w:val="00AD607B"/>
    <w:rsid w:val="00AF3A37"/>
    <w:rsid w:val="00B037EA"/>
    <w:rsid w:val="00B0618D"/>
    <w:rsid w:val="00B32E40"/>
    <w:rsid w:val="00B64FBD"/>
    <w:rsid w:val="00B6603E"/>
    <w:rsid w:val="00B70AC0"/>
    <w:rsid w:val="00B80138"/>
    <w:rsid w:val="00B93785"/>
    <w:rsid w:val="00B95A23"/>
    <w:rsid w:val="00B97346"/>
    <w:rsid w:val="00BB344C"/>
    <w:rsid w:val="00BC357E"/>
    <w:rsid w:val="00BC532E"/>
    <w:rsid w:val="00BE4B73"/>
    <w:rsid w:val="00C12666"/>
    <w:rsid w:val="00C12FC4"/>
    <w:rsid w:val="00C240D3"/>
    <w:rsid w:val="00C2525A"/>
    <w:rsid w:val="00C40ADE"/>
    <w:rsid w:val="00C43934"/>
    <w:rsid w:val="00C45C18"/>
    <w:rsid w:val="00C476DF"/>
    <w:rsid w:val="00C64E1D"/>
    <w:rsid w:val="00C64E54"/>
    <w:rsid w:val="00C726A5"/>
    <w:rsid w:val="00C75E3B"/>
    <w:rsid w:val="00C77499"/>
    <w:rsid w:val="00C83050"/>
    <w:rsid w:val="00C9418B"/>
    <w:rsid w:val="00CA2CE6"/>
    <w:rsid w:val="00CA4A3A"/>
    <w:rsid w:val="00CA7560"/>
    <w:rsid w:val="00CB30B3"/>
    <w:rsid w:val="00CB650D"/>
    <w:rsid w:val="00CB7745"/>
    <w:rsid w:val="00CC1D69"/>
    <w:rsid w:val="00CC230F"/>
    <w:rsid w:val="00CC4866"/>
    <w:rsid w:val="00D002F5"/>
    <w:rsid w:val="00D01B92"/>
    <w:rsid w:val="00D05879"/>
    <w:rsid w:val="00D25278"/>
    <w:rsid w:val="00D25B7B"/>
    <w:rsid w:val="00D265BA"/>
    <w:rsid w:val="00D42B15"/>
    <w:rsid w:val="00D4459C"/>
    <w:rsid w:val="00D529DD"/>
    <w:rsid w:val="00D52B14"/>
    <w:rsid w:val="00D60A82"/>
    <w:rsid w:val="00D677CA"/>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A2C57"/>
    <w:rsid w:val="00EB1CF3"/>
    <w:rsid w:val="00EB3E97"/>
    <w:rsid w:val="00EC2FA7"/>
    <w:rsid w:val="00ED15CA"/>
    <w:rsid w:val="00ED5BD3"/>
    <w:rsid w:val="00EE13E1"/>
    <w:rsid w:val="00EE49D4"/>
    <w:rsid w:val="00EE5C75"/>
    <w:rsid w:val="00EF029C"/>
    <w:rsid w:val="00EF12A0"/>
    <w:rsid w:val="00F007F1"/>
    <w:rsid w:val="00F16A27"/>
    <w:rsid w:val="00F2562D"/>
    <w:rsid w:val="00F30A32"/>
    <w:rsid w:val="00F31747"/>
    <w:rsid w:val="00F364EC"/>
    <w:rsid w:val="00F36A4F"/>
    <w:rsid w:val="00F37DB8"/>
    <w:rsid w:val="00F469DA"/>
    <w:rsid w:val="00F47625"/>
    <w:rsid w:val="00F54CA4"/>
    <w:rsid w:val="00F57EB5"/>
    <w:rsid w:val="00F60033"/>
    <w:rsid w:val="00F67949"/>
    <w:rsid w:val="00F7039D"/>
    <w:rsid w:val="00F7336B"/>
    <w:rsid w:val="00F8603F"/>
    <w:rsid w:val="00F917D6"/>
    <w:rsid w:val="00FB4985"/>
    <w:rsid w:val="00FB7167"/>
    <w:rsid w:val="00FC27C7"/>
    <w:rsid w:val="00FE0B6F"/>
    <w:rsid w:val="00FE79DF"/>
    <w:rsid w:val="00FF0D2B"/>
    <w:rsid w:val="00FF37FE"/>
    <w:rsid w:val="00FF4C5D"/>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75021-B3A0-44B3-98D7-69FE3933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8378</Words>
  <Characters>4777</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13129</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26</cp:revision>
  <cp:lastPrinted>2023-09-02T10:57:00Z</cp:lastPrinted>
  <dcterms:created xsi:type="dcterms:W3CDTF">2023-09-11T11:11:00Z</dcterms:created>
  <dcterms:modified xsi:type="dcterms:W3CDTF">2023-11-06T09:16:00Z</dcterms:modified>
</cp:coreProperties>
</file>