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40" w:before="0" w:after="0"/>
        <w:ind w:left="-1418" w:right="0" w:hanging="0"/>
        <w:jc w:val="center"/>
        <w:rPr/>
      </w:pPr>
      <w:r>
        <w:rPr>
          <w:rFonts w:eastAsia="Times New Roman" w:cs="Times New Roman" w:ascii="Times New Roman" w:hAnsi="Times New Roman"/>
          <w:b/>
          <w:bCs/>
          <w:i/>
          <w:iCs/>
          <w:sz w:val="24"/>
          <w:szCs w:val="24"/>
          <w:lang w:val="uk-UA" w:eastAsia="ru-RU"/>
        </w:rPr>
        <w:t>Головне управління  Державної  казначейської служби України у Чернівецькій області</w:t>
      </w:r>
    </w:p>
    <w:p>
      <w:pPr>
        <w:pStyle w:val="Normal"/>
        <w:spacing w:lineRule="auto" w:line="240" w:before="0" w:after="0"/>
        <w:ind w:left="-1418" w:right="0" w:hanging="0"/>
        <w:jc w:val="center"/>
        <w:rPr/>
      </w:pPr>
      <w:r>
        <w:rPr>
          <w:rFonts w:eastAsia="Times New Roman" w:cs="Times New Roman" w:ascii="Times New Roman" w:hAnsi="Times New Roman"/>
          <w:b/>
          <w:bCs/>
          <w:i/>
          <w:iCs/>
          <w:sz w:val="24"/>
          <w:szCs w:val="24"/>
          <w:lang w:val="uk-UA" w:eastAsia="ru-RU"/>
        </w:rPr>
        <w:t>(ГУ ДКСУ  у Чернівецькій області)</w:t>
      </w:r>
    </w:p>
    <w:p>
      <w:pPr>
        <w:pStyle w:val="Normal"/>
        <w:spacing w:lineRule="auto" w:line="240" w:before="0" w:after="0"/>
        <w:ind w:left="-1418" w:right="0" w:hanging="0"/>
        <w:jc w:val="center"/>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1418" w:right="0" w:hanging="0"/>
        <w:jc w:val="right"/>
        <w:rPr>
          <w:rFonts w:ascii="Times New Roman" w:hAnsi="Times New Roman" w:eastAsia="Times New Roman" w:cs="Times New Roman"/>
          <w:b/>
          <w:b/>
          <w:bCs/>
          <w:color w:val="000000"/>
          <w:sz w:val="24"/>
          <w:szCs w:val="24"/>
          <w:lang w:val="uk-UA" w:eastAsia="ru-RU"/>
        </w:rPr>
      </w:pPr>
      <w:bookmarkStart w:id="0" w:name="_Hlk37689513"/>
      <w:bookmarkStart w:id="1" w:name="_Hlk37689513"/>
      <w:bookmarkEnd w:id="1"/>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1418" w:right="0" w:hanging="0"/>
        <w:jc w:val="right"/>
        <w:rPr/>
      </w:pP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b/>
          <w:bCs/>
          <w:color w:val="000000"/>
          <w:sz w:val="24"/>
          <w:szCs w:val="24"/>
          <w:lang w:val="uk-UA" w:eastAsia="ru-RU"/>
        </w:rPr>
        <w:t>«ЗАТВЕРДЖЕНО»</w:t>
      </w:r>
    </w:p>
    <w:p>
      <w:pPr>
        <w:pStyle w:val="Normal"/>
        <w:spacing w:lineRule="auto" w:line="240" w:before="0" w:after="0"/>
        <w:ind w:left="-1418" w:right="0" w:hanging="0"/>
        <w:contextualSpacing/>
        <w:jc w:val="right"/>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b/>
          <w:bCs/>
          <w:color w:val="000000"/>
          <w:sz w:val="24"/>
          <w:szCs w:val="24"/>
          <w:lang w:val="uk-UA" w:eastAsia="ru-RU"/>
        </w:rPr>
        <w:t xml:space="preserve">Протокол щодо прийняття </w:t>
      </w:r>
    </w:p>
    <w:p>
      <w:pPr>
        <w:pStyle w:val="Normal"/>
        <w:spacing w:lineRule="auto" w:line="240" w:before="0" w:after="0"/>
        <w:ind w:left="-1418" w:right="0" w:hanging="0"/>
        <w:contextualSpacing/>
        <w:jc w:val="right"/>
        <w:rPr/>
      </w:pPr>
      <w:r>
        <w:rPr>
          <w:rFonts w:eastAsia="Times New Roman" w:cs="Times New Roman" w:ascii="Times New Roman" w:hAnsi="Times New Roman"/>
          <w:b/>
          <w:bCs/>
          <w:color w:val="000000"/>
          <w:sz w:val="24"/>
          <w:szCs w:val="24"/>
          <w:lang w:val="uk-UA" w:eastAsia="ru-RU"/>
        </w:rPr>
        <w:t>рішення уповноваженою особою</w:t>
      </w:r>
    </w:p>
    <w:p>
      <w:pPr>
        <w:pStyle w:val="Normal"/>
        <w:spacing w:lineRule="auto" w:line="240" w:before="0" w:after="0"/>
        <w:ind w:left="-1418" w:right="0" w:hanging="0"/>
        <w:contextualSpacing/>
        <w:jc w:val="right"/>
        <w:rPr/>
      </w:pPr>
      <w:r>
        <w:rPr>
          <w:rFonts w:eastAsia="Times New Roman" w:cs="Times New Roman" w:ascii="Times New Roman" w:hAnsi="Times New Roman"/>
          <w:b/>
          <w:bCs/>
          <w:i/>
          <w:iCs/>
          <w:color w:val="000000"/>
          <w:sz w:val="24"/>
          <w:szCs w:val="24"/>
          <w:lang w:val="uk-UA" w:eastAsia="ru-RU"/>
        </w:rPr>
        <w:t>ГУ ДКСУ у Черніваецькій олбласті</w:t>
      </w:r>
    </w:p>
    <w:p>
      <w:pPr>
        <w:pStyle w:val="Normal"/>
        <w:spacing w:lineRule="auto" w:line="240" w:before="0" w:after="0"/>
        <w:contextualSpacing/>
        <w:jc w:val="right"/>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bCs/>
          <w:color w:val="000000"/>
          <w:sz w:val="26"/>
          <w:szCs w:val="26"/>
          <w:lang w:val="uk-UA" w:eastAsia="ru-RU"/>
        </w:rPr>
        <w:t xml:space="preserve">   </w:t>
      </w:r>
      <w:r>
        <w:rPr>
          <w:rFonts w:eastAsia="Times New Roman" w:cs="Times New Roman" w:ascii="Times New Roman" w:hAnsi="Times New Roman"/>
          <w:b/>
          <w:bCs/>
          <w:color w:val="000000"/>
          <w:sz w:val="26"/>
          <w:szCs w:val="26"/>
          <w:lang w:val="uk-UA" w:eastAsia="ru-RU"/>
        </w:rPr>
        <w:t>23.01.2024 №</w:t>
      </w:r>
      <w:r>
        <w:rPr>
          <w:rFonts w:eastAsia="Times New Roman" w:cs="Times New Roman" w:ascii="Times New Roman" w:hAnsi="Times New Roman"/>
          <w:b/>
          <w:bCs/>
          <w:color w:val="000000"/>
          <w:sz w:val="26"/>
          <w:szCs w:val="26"/>
          <w:lang w:val="uk-UA" w:eastAsia="ru-RU"/>
        </w:rPr>
        <w:t>4</w:t>
      </w:r>
    </w:p>
    <w:p>
      <w:pPr>
        <w:pStyle w:val="Normal"/>
        <w:spacing w:lineRule="auto" w:line="240" w:before="0" w:after="0"/>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jc w:val="right"/>
        <w:rPr>
          <w:rFonts w:ascii="Times New Roman" w:hAnsi="Times New Roman" w:eastAsia="Times New Roman" w:cs="Times New Roman"/>
          <w:b/>
          <w:b/>
          <w:i/>
          <w:i/>
          <w:color w:val="000000"/>
          <w:sz w:val="24"/>
          <w:szCs w:val="24"/>
          <w:highlight w:val="white"/>
        </w:rPr>
      </w:pPr>
      <w:r>
        <w:rPr>
          <w:rFonts w:eastAsia="Times New Roman" w:cs="Times New Roman" w:ascii="Times New Roman" w:hAnsi="Times New Roman"/>
          <w:b/>
          <w:i/>
          <w:color w:val="000000"/>
          <w:sz w:val="24"/>
          <w:szCs w:val="24"/>
          <w:highlight w:val="white"/>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6"/>
          <w:szCs w:val="26"/>
        </w:rPr>
        <w:t xml:space="preserve">   </w:t>
      </w:r>
      <w:r>
        <w:rPr>
          <w:rFonts w:eastAsia="Times New Roman" w:cs="Times New Roman" w:ascii="Times New Roman" w:hAnsi="Times New Roman"/>
          <w:b/>
          <w:color w:val="000000"/>
          <w:sz w:val="26"/>
          <w:szCs w:val="26"/>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6"/>
          <w:szCs w:val="26"/>
        </w:rPr>
        <w:t> </w:t>
      </w:r>
      <w:r>
        <w:rPr>
          <w:rFonts w:eastAsia="Times New Roman" w:cs="Times New Roman" w:ascii="Times New Roman" w:hAnsi="Times New Roman"/>
          <w:color w:val="000000"/>
          <w:sz w:val="26"/>
          <w:szCs w:val="26"/>
        </w:rPr>
        <w:t>по процедурі</w:t>
      </w:r>
      <w:r>
        <w:rPr>
          <w:rFonts w:eastAsia="Times New Roman" w:cs="Times New Roman" w:ascii="Times New Roman" w:hAnsi="Times New Roman"/>
          <w:b/>
          <w:color w:val="000000"/>
          <w:sz w:val="26"/>
          <w:szCs w:val="26"/>
        </w:rPr>
        <w:t xml:space="preserve"> ВІДКРИТІ ТОРГИ (з особливостями)</w:t>
      </w:r>
    </w:p>
    <w:p>
      <w:pPr>
        <w:pStyle w:val="Normal"/>
        <w:spacing w:lineRule="auto" w:line="240" w:before="240" w:after="0"/>
        <w:jc w:val="center"/>
        <w:rPr>
          <w:color w:val="000000"/>
          <w:sz w:val="26"/>
          <w:szCs w:val="26"/>
        </w:rPr>
      </w:pPr>
      <w:r>
        <w:rPr>
          <w:rFonts w:eastAsia="Times New Roman" w:cs="Times New Roman" w:ascii="Times New Roman" w:hAnsi="Times New Roman"/>
          <w:color w:val="000000"/>
          <w:sz w:val="26"/>
          <w:szCs w:val="26"/>
        </w:rPr>
        <w:t>на закупівлю п</w:t>
      </w:r>
      <w:r>
        <w:rPr>
          <w:rFonts w:eastAsia="Times New Roman" w:cs="Times New Roman" w:ascii="Times New Roman" w:hAnsi="Times New Roman"/>
          <w:b/>
          <w:color w:val="000000"/>
          <w:sz w:val="26"/>
          <w:szCs w:val="26"/>
        </w:rPr>
        <w:t>ослуг</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jc w:val="center"/>
        <w:rPr>
          <w:rFonts w:ascii="Times New Roman" w:hAnsi="Times New Roman"/>
          <w:b/>
          <w:b/>
          <w:bCs/>
          <w:color w:val="000000"/>
          <w:sz w:val="26"/>
          <w:szCs w:val="26"/>
        </w:rPr>
      </w:pPr>
      <w:r>
        <w:rPr>
          <w:rFonts w:eastAsia="Times New Roman" w:cs="Times New Roman" w:ascii="Times New Roman" w:hAnsi="Times New Roman"/>
          <w:b/>
          <w:bCs/>
          <w:i w:val="false"/>
          <w:caps w:val="false"/>
          <w:smallCaps w:val="false"/>
          <w:color w:val="000000"/>
          <w:spacing w:val="0"/>
          <w:sz w:val="26"/>
          <w:szCs w:val="26"/>
        </w:rPr>
        <w:t>ДК 021:2015 79710000-4 — Охоронні послуги (Послуги цілодобової охорони об’єкту: фізичної охорони адміністративної будівлі та прилеглої території Головного управління Державної казначейської служби України у Чернівецькій області за адресою: м. Чернівці, вул. В. Аксенина, 2Е, надання послуг по здійсненню внутрішньо-об’єктового пропускного режиму у приміщеннях та на території об’єкту, моніторинг сигналів тривоги з пристроїв тривожної сигналізації)</w:t>
      </w:r>
      <w:r>
        <w:rPr>
          <w:rFonts w:eastAsia="Times New Roman" w:cs="Times New Roman" w:ascii="Times New Roman" w:hAnsi="Times New Roman"/>
          <w:b/>
          <w:bCs/>
          <w:i/>
          <w:color w:val="000000"/>
          <w:sz w:val="26"/>
          <w:szCs w:val="26"/>
        </w:rPr>
        <w:t xml:space="preserve"> </w:t>
      </w:r>
    </w:p>
    <w:p>
      <w:pPr>
        <w:pStyle w:val="Normal"/>
        <w:spacing w:lineRule="auto" w:line="240" w:before="24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r>
    </w:p>
    <w:p>
      <w:pPr>
        <w:pStyle w:val="Normal"/>
        <w:spacing w:lineRule="auto" w:line="240" w:before="240" w:after="0"/>
        <w:jc w:val="center"/>
        <w:rPr/>
      </w:pPr>
      <w:r>
        <w:rPr>
          <w:rFonts w:eastAsia="Times New Roman" w:cs="Times New Roman" w:ascii="Times New Roman" w:hAnsi="Times New Roman"/>
          <w:i w:val="false"/>
          <w:iCs w:val="false"/>
          <w:sz w:val="24"/>
          <w:szCs w:val="24"/>
        </w:rPr>
        <w:t xml:space="preserve">м.Чернівці - </w:t>
      </w:r>
      <w:r>
        <w:rPr>
          <w:rFonts w:eastAsia="Times New Roman" w:cs="Times New Roman" w:ascii="Times New Roman" w:hAnsi="Times New Roman"/>
          <w:i w:val="false"/>
          <w:iCs w:val="false"/>
          <w:color w:val="000000"/>
          <w:sz w:val="24"/>
          <w:szCs w:val="24"/>
        </w:rPr>
        <w:t>2024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400"/>
      </w:tblPr>
      <w:tblGrid>
        <w:gridCol w:w="705"/>
        <w:gridCol w:w="2831"/>
        <w:gridCol w:w="6424"/>
      </w:tblGrid>
      <w:tr>
        <w:trPr>
          <w:trHeight w:val="416"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before="0" w:after="160"/>
              <w:jc w:val="center"/>
              <w:rPr/>
            </w:pPr>
            <w:r>
              <w:rPr>
                <w:rFonts w:eastAsia="Times New Roman" w:cs="Times New Roman" w:ascii="Times New Roman" w:hAnsi="Times New Roman"/>
                <w:sz w:val="24"/>
                <w:szCs w:val="24"/>
              </w:rPr>
              <w:t>№</w:t>
            </w:r>
          </w:p>
        </w:tc>
        <w:tc>
          <w:tcPr>
            <w:tcW w:w="9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before="0" w:after="160"/>
              <w:jc w:val="center"/>
              <w:rPr/>
            </w:pPr>
            <w:r>
              <w:rPr>
                <w:rFonts w:eastAsia="Times New Roman" w:cs="Times New Roman" w:ascii="Times New Roman" w:hAnsi="Times New Roman"/>
                <w:b/>
                <w:sz w:val="24"/>
                <w:szCs w:val="24"/>
              </w:rPr>
              <w:t>Розділ 1. Загальні положення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jc w:val="both"/>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w:t>
            </w:r>
            <w:r>
              <w:rPr>
                <w:rFonts w:eastAsia="Times New Roman" w:cs="Times New Roman" w:ascii="Times New Roman" w:hAnsi="Times New Roman"/>
                <w:b/>
                <w:bCs/>
                <w:sz w:val="24"/>
                <w:szCs w:val="24"/>
              </w:rPr>
              <w:t>(далі — Особливості)</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uk-UA"/>
              </w:rPr>
              <w:t xml:space="preserve">та </w:t>
            </w:r>
            <w:r>
              <w:rPr>
                <w:rFonts w:eastAsia="Times New Roman" w:cs="Times New Roman" w:ascii="Times New Roman" w:hAnsi="Times New Roman"/>
                <w:color w:val="000000"/>
                <w:sz w:val="24"/>
                <w:szCs w:val="24"/>
                <w:lang w:val="uk-UA"/>
              </w:rPr>
              <w:t>Закону України «Про охоронну діяльність» (далі Закон)</w:t>
            </w:r>
            <w:r>
              <w:rPr>
                <w:rFonts w:eastAsia="Times New Roman" w:cs="Times New Roman" w:ascii="Times New Roman" w:hAnsi="Times New Roman"/>
                <w:sz w:val="24"/>
                <w:szCs w:val="24"/>
              </w:rPr>
              <w:t>.</w:t>
            </w:r>
          </w:p>
          <w:p>
            <w:pPr>
              <w:pStyle w:val="Normal"/>
              <w:spacing w:before="0" w:after="160"/>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Законах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Інформація про замовника торгів</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8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pPr>
            <w:r>
              <w:rPr>
                <w:rFonts w:eastAsia="Times New Roman" w:cs="Times New Roman" w:ascii="Times New Roman" w:hAnsi="Times New Roman"/>
                <w:color w:val="000000"/>
                <w:sz w:val="24"/>
                <w:szCs w:val="24"/>
              </w:rPr>
              <w:t>2.1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pPr>
            <w:r>
              <w:rPr>
                <w:rFonts w:eastAsia="Times New Roman" w:cs="Times New Roman" w:ascii="Times New Roman" w:hAnsi="Times New Roman"/>
                <w:color w:val="000000"/>
                <w:sz w:val="24"/>
                <w:szCs w:val="24"/>
              </w:rPr>
              <w:t>повне найменування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40" w:before="0" w:after="0"/>
              <w:jc w:val="both"/>
              <w:rPr/>
            </w:pPr>
            <w:r>
              <w:rPr>
                <w:rFonts w:eastAsia="Times New Roman" w:cs="Times New Roman" w:ascii="Times New Roman" w:hAnsi="Times New Roman"/>
                <w:b/>
                <w:bCs/>
                <w:i w:val="false"/>
                <w:iCs w:val="false"/>
                <w:color w:val="000000"/>
                <w:sz w:val="24"/>
                <w:szCs w:val="24"/>
                <w:lang w:val="uk-UA"/>
              </w:rPr>
              <w:t>Головне управління Державної казначейської служби України у чернівецькій області</w:t>
            </w:r>
          </w:p>
          <w:p>
            <w:pPr>
              <w:pStyle w:val="Normal"/>
              <w:spacing w:lineRule="auto" w:line="240" w:before="0" w:after="0"/>
              <w:jc w:val="both"/>
              <w:rPr>
                <w:rFonts w:ascii="Times New Roman" w:hAnsi="Times New Roman" w:eastAsia="Times New Roman" w:cs="Times New Roman"/>
                <w:b/>
                <w:b/>
                <w:bCs/>
                <w:i w:val="false"/>
                <w:i w:val="false"/>
                <w:iCs w:val="false"/>
                <w:color w:val="000000"/>
                <w:sz w:val="24"/>
                <w:szCs w:val="24"/>
                <w:lang w:val="uk-UA"/>
              </w:rPr>
            </w:pPr>
            <w:r>
              <w:rPr>
                <w:rFonts w:eastAsia="Times New Roman" w:cs="Times New Roman" w:ascii="Times New Roman" w:hAnsi="Times New Roman"/>
                <w:b/>
                <w:bCs/>
                <w:i w:val="false"/>
                <w:iCs w:val="false"/>
                <w:color w:val="000000"/>
                <w:sz w:val="24"/>
                <w:szCs w:val="24"/>
                <w:lang w:val="uk-UA"/>
              </w:rPr>
            </w:r>
          </w:p>
        </w:tc>
      </w:tr>
      <w:tr>
        <w:trPr>
          <w:trHeight w:val="51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pPr>
            <w:r>
              <w:rPr>
                <w:rFonts w:eastAsia="Times New Roman" w:cs="Times New Roman" w:ascii="Times New Roman" w:hAnsi="Times New Roman"/>
                <w:color w:val="000000"/>
                <w:sz w:val="24"/>
                <w:szCs w:val="24"/>
              </w:rPr>
              <w:t>2.2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pPr>
            <w:r>
              <w:rPr>
                <w:rFonts w:eastAsia="Times New Roman" w:cs="Times New Roman" w:ascii="Times New Roman" w:hAnsi="Times New Roman"/>
                <w:color w:val="000000"/>
                <w:sz w:val="24"/>
                <w:szCs w:val="24"/>
              </w:rPr>
              <w:t>місцезнаходження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40" w:before="0" w:after="0"/>
              <w:jc w:val="both"/>
              <w:rPr/>
            </w:pPr>
            <w:r>
              <w:rPr>
                <w:rFonts w:eastAsia="Times New Roman" w:cs="Times New Roman" w:ascii="Times New Roman" w:hAnsi="Times New Roman"/>
                <w:sz w:val="24"/>
                <w:szCs w:val="24"/>
                <w:lang w:val="uk-UA"/>
              </w:rPr>
              <w:t>вул. Василя Аксенина,2Е, м. Чернівці, Чернівецька область, Україна, 58022</w:t>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pPr>
            <w:r>
              <w:rPr>
                <w:rFonts w:eastAsia="Times New Roman" w:cs="Times New Roman" w:ascii="Times New Roman" w:hAnsi="Times New Roman"/>
                <w:color w:val="000000"/>
                <w:sz w:val="24"/>
                <w:szCs w:val="24"/>
              </w:rPr>
              <w:t>2.3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40" w:before="0" w:after="0"/>
              <w:jc w:val="both"/>
              <w:rPr/>
            </w:pPr>
            <w:r>
              <w:rPr>
                <w:rFonts w:cs="Times New Roman" w:ascii="Times New Roman" w:hAnsi="Times New Roman"/>
                <w:sz w:val="24"/>
                <w:szCs w:val="24"/>
                <w:lang w:val="uk-UA"/>
              </w:rPr>
              <w:t xml:space="preserve">Дробот Олександр Михайлович – начальник відділу адміністративно-господарської роботи </w:t>
            </w:r>
          </w:p>
          <w:p>
            <w:pPr>
              <w:pStyle w:val="Normal"/>
              <w:spacing w:lineRule="auto" w:line="240" w:before="0" w:after="0"/>
              <w:jc w:val="both"/>
              <w:rPr/>
            </w:pPr>
            <w:r>
              <w:rPr>
                <w:rFonts w:cs="Times New Roman" w:ascii="Times New Roman" w:hAnsi="Times New Roman"/>
                <w:sz w:val="24"/>
                <w:szCs w:val="24"/>
                <w:lang w:val="uk-UA"/>
              </w:rPr>
              <w:t xml:space="preserve">тел. (03725)55-26-88 </w:t>
            </w:r>
          </w:p>
          <w:p>
            <w:pPr>
              <w:pStyle w:val="Normal"/>
              <w:spacing w:lineRule="auto" w:line="240" w:before="0" w:after="0"/>
              <w:jc w:val="both"/>
              <w:rPr/>
            </w:pPr>
            <w:r>
              <w:rPr>
                <w:rFonts w:cs="Times New Roman" w:ascii="Times New Roman" w:hAnsi="Times New Roman"/>
                <w:b w:val="false"/>
                <w:bCs w:val="false"/>
                <w:color w:val="000000"/>
                <w:sz w:val="20"/>
                <w:szCs w:val="20"/>
                <w:lang w:val="uk-UA" w:eastAsia="en-US"/>
              </w:rPr>
              <w:t xml:space="preserve">електронна адреса: </w:t>
            </w:r>
            <w:hyperlink r:id="rId2">
              <w:r>
                <w:rPr>
                  <w:rStyle w:val="Style8"/>
                  <w:rFonts w:cs="Times New Roman" w:ascii="OpenSans-Regular;Arial;sans-serif" w:hAnsi="OpenSans-Regular;Arial;sans-serif"/>
                  <w:b w:val="false"/>
                  <w:bCs w:val="false"/>
                  <w:i w:val="false"/>
                  <w:caps w:val="false"/>
                  <w:smallCaps w:val="false"/>
                  <w:strike w:val="false"/>
                  <w:dstrike w:val="false"/>
                  <w:color w:val="000000"/>
                  <w:spacing w:val="0"/>
                  <w:sz w:val="21"/>
                  <w:szCs w:val="20"/>
                  <w:u w:val="none"/>
                  <w:effect w:val="none"/>
                  <w:lang w:val="uk-UA" w:eastAsia="en-US"/>
                </w:rPr>
                <w:t>office@cv.treasury.gov.ua</w:t>
              </w:r>
            </w:hyperlink>
            <w:r>
              <w:rPr>
                <w:rFonts w:cs="Times New Roman" w:ascii="Times New Roman" w:hAnsi="Times New Roman"/>
                <w:b w:val="false"/>
                <w:bCs w:val="false"/>
                <w:color w:val="000000"/>
                <w:sz w:val="20"/>
                <w:szCs w:val="20"/>
                <w:lang w:val="uk-UA" w:eastAsia="ar-SA"/>
              </w:rPr>
              <w:t>;</w:t>
            </w:r>
          </w:p>
          <w:p>
            <w:pPr>
              <w:pStyle w:val="Normal"/>
              <w:spacing w:lineRule="auto" w:line="240" w:before="0" w:after="0"/>
              <w:jc w:val="both"/>
              <w:rPr/>
            </w:pPr>
            <w:r>
              <w:rPr>
                <w:rFonts w:cs="Times New Roman" w:ascii="Times New Roman" w:hAnsi="Times New Roman"/>
                <w:sz w:val="24"/>
                <w:szCs w:val="24"/>
                <w:lang w:val="uk-UA"/>
              </w:rPr>
              <w:t>Гаврілова Юлія Миколаївна -головний спеціаліст із закупівель</w:t>
            </w:r>
          </w:p>
          <w:p>
            <w:pPr>
              <w:pStyle w:val="Normal"/>
              <w:spacing w:lineRule="auto" w:line="240" w:before="0" w:after="0"/>
              <w:jc w:val="both"/>
              <w:rPr/>
            </w:pPr>
            <w:r>
              <w:rPr>
                <w:rFonts w:eastAsia="Times New Roman" w:cs="Times New Roman" w:ascii="Times New Roman" w:hAnsi="Times New Roman"/>
                <w:sz w:val="24"/>
                <w:szCs w:val="24"/>
                <w:lang w:val="uk-UA"/>
              </w:rPr>
              <w:t>тел. (03725)58-52-88</w:t>
            </w:r>
          </w:p>
          <w:p>
            <w:pPr>
              <w:pStyle w:val="Normal"/>
              <w:spacing w:lineRule="auto" w:line="240" w:before="0" w:after="0"/>
              <w:jc w:val="both"/>
              <w:rPr/>
            </w:pPr>
            <w:r>
              <w:rPr>
                <w:rFonts w:eastAsia="Times New Roman" w:cs="Times New Roman" w:ascii="Times New Roman" w:hAnsi="Times New Roman"/>
                <w:b w:val="false"/>
                <w:bCs w:val="false"/>
                <w:color w:val="000000"/>
                <w:sz w:val="20"/>
                <w:szCs w:val="20"/>
                <w:lang w:val="uk-UA" w:eastAsia="en-US"/>
              </w:rPr>
              <w:t xml:space="preserve">електронна адреса: </w:t>
            </w:r>
            <w:hyperlink r:id="rId3">
              <w:r>
                <w:rPr>
                  <w:rStyle w:val="Style8"/>
                  <w:rFonts w:eastAsia="Times New Roman" w:cs="Times New Roman" w:ascii="OpenSans-Regular;Arial;sans-serif" w:hAnsi="OpenSans-Regular;Arial;sans-serif"/>
                  <w:b w:val="false"/>
                  <w:bCs w:val="false"/>
                  <w:i w:val="false"/>
                  <w:caps w:val="false"/>
                  <w:smallCaps w:val="false"/>
                  <w:strike w:val="false"/>
                  <w:dstrike w:val="false"/>
                  <w:color w:val="000000"/>
                  <w:spacing w:val="0"/>
                  <w:sz w:val="21"/>
                  <w:szCs w:val="20"/>
                  <w:u w:val="none"/>
                  <w:effect w:val="none"/>
                  <w:lang w:val="uk-UA" w:eastAsia="en-US"/>
                </w:rPr>
                <w:t>office@cv.treasury.gov.ua</w:t>
              </w:r>
            </w:hyperlink>
          </w:p>
        </w:tc>
      </w:tr>
      <w:tr>
        <w:trPr>
          <w:trHeight w:val="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Процедура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both"/>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за особливостями</w:t>
            </w:r>
          </w:p>
        </w:tc>
      </w:tr>
      <w:tr>
        <w:trPr>
          <w:trHeight w:val="24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Інформація про предмет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tc>
      </w:tr>
      <w:tr>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pPr>
            <w:r>
              <w:rPr>
                <w:rFonts w:eastAsia="Times New Roman" w:cs="Times New Roman" w:ascii="Times New Roman" w:hAnsi="Times New Roman"/>
                <w:color w:val="000000"/>
                <w:sz w:val="24"/>
                <w:szCs w:val="24"/>
              </w:rPr>
              <w:t>4.1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pPr>
            <w:r>
              <w:rPr>
                <w:rFonts w:eastAsia="Times New Roman" w:cs="Times New Roman" w:ascii="Times New Roman" w:hAnsi="Times New Roman"/>
                <w:color w:val="000000"/>
                <w:sz w:val="24"/>
                <w:szCs w:val="24"/>
              </w:rPr>
              <w:t>назва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40" w:before="240" w:after="0"/>
              <w:jc w:val="left"/>
              <w:rPr>
                <w:rFonts w:ascii="Times New Roman" w:hAnsi="Times New Roman"/>
                <w:b/>
                <w:b/>
                <w:bCs/>
                <w:color w:val="000000"/>
                <w:sz w:val="26"/>
                <w:szCs w:val="26"/>
              </w:rPr>
            </w:pPr>
            <w:r>
              <w:rPr>
                <w:rFonts w:eastAsia="Times New Roman" w:cs="Times New Roman" w:ascii="Times New Roman" w:hAnsi="Times New Roman"/>
                <w:b/>
                <w:bCs/>
                <w:i w:val="false"/>
                <w:caps w:val="false"/>
                <w:smallCaps w:val="false"/>
                <w:color w:val="000000"/>
                <w:spacing w:val="0"/>
                <w:sz w:val="24"/>
                <w:szCs w:val="24"/>
              </w:rPr>
              <w:t>ДК 021:2015 79710000-4 — Охоронні послуги (Послуги цілодобової охорони об’єкту: фізичної охорони адміністративної будівлі та прилеглої території Головного управління Державної казначейської служби України у Чернівецькій області за адресою: м. Чернівці, вул. В. Аксенина, 2Е, надання послуг по здійсненню внутрішньо-об’єктового пропускного режиму у приміщеннях та на території об’єкту, моніторинг сигналів тривоги з пристроїв тривожної сигналізації)</w:t>
            </w:r>
            <w:r>
              <w:rPr>
                <w:rFonts w:eastAsia="Times New Roman" w:cs="Times New Roman" w:ascii="Times New Roman" w:hAnsi="Times New Roman"/>
                <w:b/>
                <w:bCs/>
                <w:i/>
                <w:color w:val="000000"/>
                <w:sz w:val="24"/>
                <w:szCs w:val="24"/>
              </w:rPr>
              <w:t xml:space="preserve"> </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ind w:right="120" w:hanging="0"/>
              <w:jc w:val="both"/>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jc w:val="both"/>
              <w:rPr/>
            </w:pPr>
            <w:r>
              <w:rPr>
                <w:rStyle w:val="Rvts0"/>
                <w:rFonts w:ascii="Times New Roman" w:hAnsi="Times New Roman"/>
                <w:b/>
                <w:bCs/>
                <w:i w:val="false"/>
                <w:iCs w:val="false"/>
                <w:sz w:val="24"/>
                <w:szCs w:val="24"/>
                <w:lang w:val="uk-UA"/>
              </w:rPr>
              <w:t xml:space="preserve">Назва товару чи послуги кожної номенклатурної позиції предмета закупівлі та код товару чи послуги, визначеного згідно з Єдиним закупівельним словником:  </w:t>
            </w:r>
          </w:p>
          <w:p>
            <w:pPr>
              <w:pStyle w:val="Normal"/>
              <w:jc w:val="both"/>
              <w:rPr/>
            </w:pPr>
            <w:r>
              <w:rPr>
                <w:rStyle w:val="Rvts0"/>
                <w:rFonts w:cs="Times New Roman" w:ascii="Times New Roman" w:hAnsi="Times New Roman"/>
                <w:b/>
                <w:bCs w:val="false"/>
                <w:i w:val="false"/>
                <w:iCs/>
                <w:color w:val="000000"/>
                <w:sz w:val="24"/>
                <w:szCs w:val="24"/>
                <w:lang w:val="uk-UA"/>
              </w:rPr>
              <w:t>-</w:t>
            </w:r>
            <w:r>
              <w:rPr>
                <w:rStyle w:val="Rvts0"/>
                <w:rFonts w:cs="Times New Roman" w:ascii="Times New Roman" w:hAnsi="Times New Roman"/>
                <w:b w:val="false"/>
                <w:bCs w:val="false"/>
                <w:i w:val="false"/>
                <w:iCs w:val="false"/>
                <w:color w:val="000000"/>
                <w:sz w:val="22"/>
                <w:szCs w:val="22"/>
                <w:lang w:val="uk-UA"/>
              </w:rPr>
              <w:t xml:space="preserve">ДК 021:2015 79713000-5 </w:t>
            </w:r>
            <w:r>
              <w:rPr>
                <w:rStyle w:val="Rvts0"/>
                <w:rFonts w:cs="Times New Roman" w:ascii="Times New Roman" w:hAnsi="Times New Roman"/>
                <w:b w:val="false"/>
                <w:bCs w:val="false"/>
                <w:i w:val="false"/>
                <w:iCs w:val="false"/>
                <w:caps w:val="false"/>
                <w:smallCaps w:val="false"/>
                <w:color w:val="000000"/>
                <w:spacing w:val="0"/>
                <w:sz w:val="22"/>
                <w:szCs w:val="22"/>
                <w:lang w:val="uk-UA"/>
              </w:rPr>
              <w:t xml:space="preserve">Послуги з охорони об’єктів та особистої охорони (Послуги фізичної охорони адміністративної будівлі та прилеглої території Головного управління Державної казначейської служби України у Чернівецькій області за адресою: м. Чернівці, вул. В. Аксенина, 2Е, надання послуг по </w:t>
            </w:r>
            <w:bookmarkStart w:id="2" w:name="__DdeLink__2448_13947085121"/>
            <w:r>
              <w:rPr>
                <w:rStyle w:val="Rvts0"/>
                <w:rFonts w:cs="Times New Roman" w:ascii="Times New Roman" w:hAnsi="Times New Roman"/>
                <w:b w:val="false"/>
                <w:bCs w:val="false"/>
                <w:i w:val="false"/>
                <w:iCs w:val="false"/>
                <w:caps w:val="false"/>
                <w:smallCaps w:val="false"/>
                <w:color w:val="000000"/>
                <w:spacing w:val="0"/>
                <w:sz w:val="22"/>
                <w:szCs w:val="22"/>
                <w:lang w:val="uk-UA"/>
              </w:rPr>
              <w:t>здійсненню внутрішньо-об’єктового пропускного режиму у приміщеннях та на території об’єкту</w:t>
            </w:r>
            <w:bookmarkEnd w:id="2"/>
            <w:r>
              <w:rPr>
                <w:rStyle w:val="Rvts0"/>
                <w:rFonts w:cs="Times New Roman" w:ascii="Times New Roman" w:hAnsi="Times New Roman"/>
                <w:b w:val="false"/>
                <w:bCs w:val="false"/>
                <w:i w:val="false"/>
                <w:iCs w:val="false"/>
                <w:caps w:val="false"/>
                <w:smallCaps w:val="false"/>
                <w:color w:val="000000"/>
                <w:spacing w:val="0"/>
                <w:sz w:val="22"/>
                <w:szCs w:val="22"/>
                <w:lang w:val="uk-UA"/>
              </w:rPr>
              <w:t>)</w:t>
            </w:r>
          </w:p>
          <w:p>
            <w:pPr>
              <w:pStyle w:val="Normal"/>
              <w:keepNext w:val="true"/>
              <w:keepLines/>
              <w:spacing w:lineRule="auto" w:line="240" w:before="0" w:after="0"/>
              <w:ind w:left="0" w:right="120" w:hanging="0"/>
              <w:contextualSpacing/>
              <w:jc w:val="both"/>
              <w:rPr>
                <w:rFonts w:ascii="Times New Roman" w:hAnsi="Times New Roman" w:eastAsia="Times New Roman" w:cs="Times New Roman"/>
                <w:i/>
                <w:i/>
                <w:color w:val="FF0000"/>
                <w:sz w:val="24"/>
                <w:szCs w:val="24"/>
                <w:highlight w:val="yellow"/>
                <w:lang w:val="uk-UA" w:eastAsia="ru-RU"/>
              </w:rPr>
            </w:pPr>
            <w:r>
              <w:rPr>
                <w:rStyle w:val="Rvts0"/>
                <w:rFonts w:eastAsia="Times New Roman" w:cs="Times New Roman" w:ascii="Times New Roman" w:hAnsi="Times New Roman"/>
                <w:b w:val="false"/>
                <w:bCs w:val="false"/>
                <w:i w:val="false"/>
                <w:iCs w:val="false"/>
                <w:caps w:val="false"/>
                <w:smallCaps w:val="false"/>
                <w:color w:val="000000"/>
                <w:spacing w:val="0"/>
                <w:sz w:val="22"/>
                <w:szCs w:val="22"/>
                <w:lang w:val="uk-UA" w:eastAsia="ru-RU"/>
              </w:rPr>
              <w:t>-  ДК 021:2015 – 7971</w:t>
            </w:r>
            <w:r>
              <w:rPr>
                <w:rStyle w:val="Rvts0"/>
                <w:rFonts w:eastAsia="Times New Roman" w:cs="Times New Roman" w:ascii="Times New Roman" w:hAnsi="Times New Roman"/>
                <w:b w:val="false"/>
                <w:bCs w:val="false"/>
                <w:i w:val="false"/>
                <w:iCs w:val="false"/>
                <w:caps w:val="false"/>
                <w:smallCaps w:val="false"/>
                <w:color w:val="000000"/>
                <w:spacing w:val="0"/>
                <w:sz w:val="22"/>
                <w:szCs w:val="22"/>
                <w:lang w:val="ru-RU" w:eastAsia="ru-RU"/>
              </w:rPr>
              <w:t>1</w:t>
            </w:r>
            <w:r>
              <w:rPr>
                <w:rStyle w:val="Rvts0"/>
                <w:rFonts w:eastAsia="Times New Roman" w:cs="Times New Roman" w:ascii="Times New Roman" w:hAnsi="Times New Roman"/>
                <w:b w:val="false"/>
                <w:bCs w:val="false"/>
                <w:i w:val="false"/>
                <w:iCs w:val="false"/>
                <w:caps w:val="false"/>
                <w:smallCaps w:val="false"/>
                <w:color w:val="000000"/>
                <w:spacing w:val="0"/>
                <w:sz w:val="22"/>
                <w:szCs w:val="22"/>
                <w:lang w:val="uk-UA" w:eastAsia="ru-RU"/>
              </w:rPr>
              <w:t>000-1 Послуги з моніторингу сигналів тривоги, що надходять з пристроїв охоронної сигналізації (Моніторинг сигналів  тривоги з пристроїв  тривожної сигналізації)</w:t>
            </w:r>
          </w:p>
          <w:p>
            <w:pPr>
              <w:pStyle w:val="Normal"/>
              <w:widowControl w:val="false"/>
              <w:spacing w:before="0" w:after="160"/>
              <w:jc w:val="both"/>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color w:val="000000"/>
                <w:sz w:val="24"/>
                <w:szCs w:val="24"/>
              </w:rPr>
              <w:t>місце, де повинні бути виконані роботи чи надані послуги, їх обсяги</w:t>
            </w:r>
            <w:r>
              <w:rPr>
                <w:rFonts w:eastAsia="Times New Roman" w:cs="Times New Roman" w:ascii="Times New Roman" w:hAnsi="Times New Roman"/>
                <w:color w:val="000000"/>
                <w:sz w:val="24"/>
                <w:szCs w:val="24"/>
                <w:highlight w:val="magenta"/>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lineRule="auto" w:line="240" w:before="0" w:after="0"/>
              <w:ind w:hanging="2"/>
              <w:contextualSpacing/>
              <w:jc w:val="both"/>
              <w:rPr>
                <w:rFonts w:ascii="Times New Roman" w:hAnsi="Times New Roman"/>
                <w:sz w:val="24"/>
                <w:szCs w:val="24"/>
              </w:rPr>
            </w:pPr>
            <w:r>
              <w:rPr>
                <w:rFonts w:ascii="Times New Roman" w:hAnsi="Times New Roman"/>
                <w:color w:val="000000"/>
                <w:sz w:val="24"/>
                <w:szCs w:val="24"/>
                <w:lang w:eastAsia="ru-RU"/>
              </w:rPr>
              <w:t>Місце надання охоронних послуг:</w:t>
            </w:r>
          </w:p>
          <w:p>
            <w:pPr>
              <w:pStyle w:val="Normal"/>
              <w:widowControl w:val="false"/>
              <w:spacing w:lineRule="auto" w:line="240" w:before="0" w:after="0"/>
              <w:ind w:hanging="2"/>
              <w:contextualSpacing/>
              <w:jc w:val="both"/>
              <w:rPr>
                <w:rFonts w:ascii="Times New Roman" w:hAnsi="Times New Roman"/>
                <w:sz w:val="24"/>
                <w:szCs w:val="24"/>
              </w:rPr>
            </w:pPr>
            <w:r>
              <w:rPr>
                <w:rFonts w:ascii="Times New Roman" w:hAnsi="Times New Roman"/>
                <w:color w:val="000000"/>
                <w:sz w:val="24"/>
                <w:szCs w:val="24"/>
                <w:lang w:eastAsia="ru-RU"/>
              </w:rPr>
              <w:t xml:space="preserve">- </w:t>
            </w:r>
            <w:r>
              <w:rPr>
                <w:rFonts w:cs="Times New Roman" w:ascii="Times New Roman" w:hAnsi="Times New Roman"/>
                <w:b w:val="false"/>
                <w:bCs w:val="false"/>
                <w:color w:val="000000"/>
                <w:sz w:val="24"/>
                <w:szCs w:val="24"/>
                <w:lang w:eastAsia="ru-RU"/>
              </w:rPr>
              <w:t>вул. В.Аксенина, 2Е,  м. Чернівці, 58022</w:t>
            </w:r>
          </w:p>
          <w:p>
            <w:pPr>
              <w:pStyle w:val="Normal"/>
              <w:widowControl w:val="false"/>
              <w:spacing w:lineRule="auto" w:line="240" w:before="0" w:after="0"/>
              <w:ind w:hanging="2"/>
              <w:contextualSpacing/>
              <w:jc w:val="both"/>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sz w:val="24"/>
                <w:szCs w:val="24"/>
                <w:lang w:eastAsia="ru-RU"/>
              </w:rPr>
            </w:r>
          </w:p>
          <w:p>
            <w:pPr>
              <w:pStyle w:val="Normal"/>
              <w:widowControl w:val="false"/>
              <w:spacing w:lineRule="auto" w:line="240" w:before="0" w:after="0"/>
              <w:ind w:hanging="2"/>
              <w:contextualSpacing/>
              <w:jc w:val="both"/>
              <w:rPr/>
            </w:pPr>
            <w:r>
              <w:rPr>
                <w:rFonts w:eastAsia="Times New Roman" w:cs="Times New Roman" w:ascii="Times New Roman" w:hAnsi="Times New Roman"/>
                <w:b w:val="false"/>
                <w:bCs w:val="false"/>
                <w:color w:val="000000"/>
                <w:sz w:val="24"/>
                <w:szCs w:val="24"/>
                <w:lang w:eastAsia="ru-RU"/>
              </w:rPr>
              <w:t>Обсяг надання полслуг</w:t>
            </w:r>
            <w:r>
              <w:rPr>
                <w:rFonts w:eastAsia="Times New Roman" w:cs="Times New Roman" w:ascii="Times New Roman" w:hAnsi="Times New Roman"/>
                <w:color w:val="000000"/>
                <w:sz w:val="24"/>
                <w:szCs w:val="24"/>
                <w:lang w:eastAsia="ru-RU"/>
              </w:rPr>
              <w:t xml:space="preserve"> – </w:t>
            </w:r>
            <w:r>
              <w:rPr>
                <w:rFonts w:eastAsia="Times New Roman" w:cs="Times New Roman" w:ascii="Times New Roman" w:hAnsi="Times New Roman"/>
                <w:b/>
                <w:bCs/>
                <w:color w:val="000000"/>
                <w:sz w:val="24"/>
                <w:szCs w:val="24"/>
                <w:lang w:eastAsia="ru-RU"/>
              </w:rPr>
              <w:t xml:space="preserve">7315 годин (1 цілодобовий пост)  </w:t>
            </w:r>
          </w:p>
        </w:tc>
      </w:tr>
      <w:tr>
        <w:trPr>
          <w:trHeight w:val="64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color w:val="000000"/>
                <w:sz w:val="24"/>
                <w:szCs w:val="24"/>
              </w:rPr>
              <w:t xml:space="preserve">До 31 грудня  2024 року включно </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ind w:right="140" w:hanging="0"/>
              <w:jc w:val="both"/>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ind w:right="140" w:hanging="0"/>
              <w:jc w:val="both"/>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jc w:val="both"/>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pPr>
            <w:r>
              <w:rPr>
                <w:rFonts w:eastAsia="Times New Roman" w:cs="Times New Roman" w:ascii="Times New Roman" w:hAnsi="Times New Roman"/>
                <w:b/>
                <w:color w:val="000000"/>
                <w:sz w:val="24"/>
                <w:szCs w:val="24"/>
              </w:rPr>
              <w:t>Виключення:</w:t>
            </w:r>
          </w:p>
          <w:p>
            <w:pPr>
              <w:pStyle w:val="Normal"/>
              <w:widowControl w:val="false"/>
              <w:jc w:val="both"/>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jc w:val="both"/>
              <w:rPr/>
            </w:pPr>
            <w:r>
              <w:rPr>
                <w:rFonts w:eastAsia="Times New Roman" w:cs="Times New Roman" w:ascii="Times New Roman" w:hAnsi="Times New Roman"/>
                <w:sz w:val="24"/>
                <w:szCs w:val="24"/>
                <w:highlight w:val="white"/>
              </w:rPr>
              <w:t xml:space="preserve">Фізична/юридична особа має право </w:t>
            </w:r>
            <w:r>
              <w:rPr>
                <w:rFonts w:eastAsia="Times New Roman" w:cs="Times New Roman" w:ascii="Times New Roman" w:hAnsi="Times New Roman"/>
                <w:b/>
                <w:bCs/>
                <w:sz w:val="24"/>
                <w:szCs w:val="24"/>
                <w:highlight w:val="white"/>
              </w:rPr>
              <w:t>не пізніше ніж за три дні до закінчення строку подання тендерної пропозиції</w:t>
            </w:r>
            <w:r>
              <w:rPr>
                <w:rFonts w:eastAsia="Times New Roman" w:cs="Times New Roman" w:ascii="Times New Roman" w:hAnsi="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Внесення змін 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jc w:val="both"/>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w:t>
            </w:r>
            <w:r>
              <w:rPr>
                <w:rFonts w:eastAsia="Times New Roman" w:cs="Times New Roman" w:ascii="Times New Roman" w:hAnsi="Times New Roman"/>
                <w:b/>
                <w:bCs/>
                <w:sz w:val="24"/>
                <w:szCs w:val="24"/>
                <w:highlight w:val="white"/>
              </w:rPr>
              <w:t xml:space="preserve"> не менше чотирьох днів.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b/>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pPr>
            <w:r>
              <w:rPr>
                <w:rFonts w:eastAsia="Times New Roman" w:cs="Times New Roman"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ппроцедури зкупівлі про його відповіднісь кваліфікаційним  критеріям, наявність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cs="Times New Roman" w:ascii="Times New Roman" w:hAnsi="Times New Roman"/>
                <w:sz w:val="24"/>
                <w:szCs w:val="24"/>
                <w:highlight w:val="white"/>
              </w:rPr>
              <w:t>:</w:t>
            </w:r>
          </w:p>
          <w:p>
            <w:pPr>
              <w:pStyle w:val="Normal"/>
              <w:widowControl w:val="false"/>
              <w:numPr>
                <w:ilvl w:val="0"/>
                <w:numId w:val="2"/>
              </w:numPr>
              <w:ind w:left="720" w:hanging="360"/>
              <w:jc w:val="both"/>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ind w:left="720" w:hanging="360"/>
              <w:jc w:val="both"/>
              <w:rPr/>
            </w:pPr>
            <w:r>
              <w:rPr>
                <w:rFonts w:eastAsia="Times New Roman" w:cs="Times New Roman" w:ascii="Times New Roman" w:hAnsi="Times New Roman"/>
                <w:sz w:val="24"/>
                <w:szCs w:val="24"/>
              </w:rPr>
              <w:t xml:space="preserve">інформацією щодо відсутності підстав, установлених у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pPr>
            <w:r>
              <w:rPr>
                <w:rFonts w:eastAsia="Times New Roman" w:cs="Times New Roman"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w:t>
            </w:r>
            <w:r>
              <w:rPr>
                <w:rFonts w:eastAsia="Times New Roman" w:cs="Times New Roman" w:ascii="Times New Roman" w:hAnsi="Times New Roman"/>
                <w:color w:val="000000"/>
                <w:sz w:val="24"/>
                <w:szCs w:val="24"/>
              </w:rPr>
              <w:t xml:space="preserve">им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rPr>
              <w:t>47</w:t>
            </w:r>
            <w:r>
              <w:fldChar w:fldCharType="end"/>
            </w:r>
            <w:r>
              <w:rPr>
                <w:rFonts w:eastAsia="Times New Roman" w:cs="Times New Roman" w:ascii="Times New Roman" w:hAnsi="Times New Roman"/>
                <w:color w:val="000000"/>
                <w:sz w:val="24"/>
                <w:szCs w:val="24"/>
              </w:rPr>
              <w:t xml:space="preserve">  Особли</w:t>
            </w:r>
            <w:r>
              <w:rPr>
                <w:rFonts w:eastAsia="Times New Roman" w:cs="Times New Roman" w:ascii="Times New Roman" w:hAnsi="Times New Roman"/>
                <w:sz w:val="24"/>
                <w:szCs w:val="24"/>
              </w:rPr>
              <w:t xml:space="preserve">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2"/>
              </w:numPr>
              <w:jc w:val="both"/>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pPr>
            <w:r>
              <w:rPr>
                <w:rFonts w:eastAsia="Times New Roman" w:cs="Times New Roman" w:ascii="Times New Roman" w:hAnsi="Times New Roman"/>
                <w:color w:val="000000"/>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pPr>
            <w:r>
              <w:rPr>
                <w:rFonts w:eastAsia="Times New Roman" w:cs="Times New Roman" w:ascii="Times New Roman" w:hAnsi="Times New Roman"/>
                <w:b/>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w:t>
            </w:r>
            <w:r>
              <w:rPr>
                <w:rFonts w:eastAsia="Times New Roman" w:cs="Times New Roman" w:ascii="Times New Roman" w:hAnsi="Times New Roman"/>
                <w:b/>
                <w:bCs/>
                <w:i/>
                <w:sz w:val="24"/>
                <w:szCs w:val="24"/>
                <w:highlight w:val="white"/>
              </w:rPr>
              <w:t xml:space="preserve"> Додатку 1 (для переможця).</w:t>
            </w:r>
          </w:p>
          <w:p>
            <w:pPr>
              <w:pStyle w:val="Normal"/>
              <w:widowControl w:val="false"/>
              <w:jc w:val="both"/>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w:t>
            </w:r>
          </w:p>
          <w:p>
            <w:pPr>
              <w:pStyle w:val="Normal"/>
              <w:widowControl w:val="false"/>
              <w:ind w:left="40" w:hanging="20"/>
              <w:jc w:val="both"/>
              <w:rPr/>
            </w:pPr>
            <w:bookmarkStart w:id="3" w:name="__DdeLink__5585_32045361991"/>
            <w:r>
              <w:rPr>
                <w:rFonts w:eastAsia="Times New Roman" w:cs="Times New Roman" w:ascii="Times New Roman" w:hAnsi="Times New Roman"/>
                <w:b/>
                <w:bCs/>
                <w:color w:val="000000"/>
                <w:sz w:val="24"/>
                <w:szCs w:val="24"/>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довідку</w:t>
            </w:r>
            <w:bookmarkEnd w:id="3"/>
            <w:r>
              <w:rPr>
                <w:rFonts w:eastAsia="Times New Roman" w:cs="Times New Roman" w:ascii="Times New Roman" w:hAnsi="Times New Roman"/>
                <w:b/>
                <w:bCs/>
                <w:color w:val="000000"/>
                <w:sz w:val="24"/>
                <w:szCs w:val="24"/>
              </w:rPr>
              <w:t xml:space="preserve"> в довільній формі, із зазначенням відповідного факту та з посиланням на законодавчі, нормативні документи,  що його підтверджують. </w:t>
            </w:r>
          </w:p>
          <w:p>
            <w:pPr>
              <w:pStyle w:val="Normal"/>
              <w:widowControl w:val="false"/>
              <w:ind w:left="40" w:hanging="20"/>
              <w:jc w:val="both"/>
              <w:rPr/>
            </w:pPr>
            <w:r>
              <w:rPr>
                <w:rFonts w:eastAsia="Times New Roman" w:cs="Times New Roman" w:ascii="Times New Roman" w:hAnsi="Times New Roman"/>
                <w:b/>
                <w:color w:val="000000"/>
                <w:sz w:val="24"/>
                <w:szCs w:val="24"/>
              </w:rPr>
              <w:t>УВАГА!!!</w:t>
            </w:r>
          </w:p>
          <w:p>
            <w:pPr>
              <w:pStyle w:val="Normal"/>
              <w:widowControl w:val="false"/>
              <w:jc w:val="both"/>
              <w:rPr/>
            </w:pPr>
            <w:bookmarkStart w:id="4" w:name="_heading=h.3znysh7"/>
            <w:bookmarkEnd w:id="4"/>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jc w:val="both"/>
              <w:rPr/>
            </w:pPr>
            <w:r>
              <w:rPr>
                <w:rFonts w:eastAsia="Times New Roman" w:cs="Times New Roman" w:ascii="Times New Roman" w:hAnsi="Times New Roman"/>
                <w:b/>
                <w:color w:val="000000"/>
                <w:sz w:val="24"/>
                <w:szCs w:val="24"/>
              </w:rPr>
              <w:t>Винятки:</w:t>
            </w:r>
          </w:p>
          <w:p>
            <w:pPr>
              <w:pStyle w:val="Normal"/>
              <w:jc w:val="both"/>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відсутності даної інформації або 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ненакладення учасником КЕП\УЕП </w:t>
            </w:r>
            <w:r>
              <w:rPr>
                <w:rFonts w:eastAsia="Times New Roman" w:cs="Times New Roman" w:ascii="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eastAsia="Times New Roman" w:cs="Times New Roman" w:ascii="Times New Roman" w:hAnsi="Times New Roman"/>
                <w:b/>
                <w:i/>
                <w:sz w:val="24"/>
                <w:szCs w:val="24"/>
              </w:rPr>
              <w:t>Закону</w:t>
            </w:r>
            <w:r>
              <w:rPr>
                <w:rFonts w:eastAsia="Times New Roman" w:cs="Times New Roman" w:ascii="Times New Roman" w:hAnsi="Times New Roman"/>
                <w:b/>
                <w:sz w:val="24"/>
                <w:szCs w:val="24"/>
              </w:rPr>
              <w:t xml:space="preserve"> та буде відхилена на підставі підпункту 2 пункту 44 </w:t>
            </w:r>
            <w:r>
              <w:rPr>
                <w:rFonts w:eastAsia="Times New Roman" w:cs="Times New Roman" w:ascii="Times New Roman" w:hAnsi="Times New Roman"/>
                <w:b/>
                <w:i/>
                <w:sz w:val="24"/>
                <w:szCs w:val="24"/>
              </w:rPr>
              <w:t>Особливостей.</w:t>
            </w:r>
          </w:p>
          <w:p>
            <w:pPr>
              <w:pStyle w:val="Normal"/>
              <w:widowControl w:val="false"/>
              <w:jc w:val="both"/>
              <w:rPr/>
            </w:pPr>
            <w:bookmarkStart w:id="5" w:name="_heading=h.2et92p0"/>
            <w:bookmarkEnd w:id="5"/>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pPr>
            <w:bookmarkStart w:id="6" w:name="_heading=h.hjqm8skarbdr"/>
            <w:bookmarkEnd w:id="6"/>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jc w:val="both"/>
              <w:rPr/>
            </w:pPr>
            <w:bookmarkStart w:id="7" w:name="_heading=h.ftj7vaqoric"/>
            <w:bookmarkEnd w:id="7"/>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 xml:space="preserve"> .</w:t>
            </w:r>
          </w:p>
          <w:p>
            <w:pPr>
              <w:pStyle w:val="Normal"/>
              <w:widowControl w:val="false"/>
              <w:spacing w:before="0" w:after="16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tc>
      </w:tr>
      <w:tr>
        <w:trPr>
          <w:trHeight w:val="913"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bookmarkStart w:id="8" w:name="_heading=h.tyjcwt"/>
            <w:bookmarkEnd w:id="8"/>
            <w:r>
              <w:rPr>
                <w:rFonts w:eastAsia="Times New Roman" w:cs="Times New Roman" w:ascii="Times New Roman" w:hAnsi="Times New Roman"/>
                <w:b/>
                <w:color w:val="000000"/>
                <w:sz w:val="24"/>
                <w:szCs w:val="24"/>
              </w:rPr>
              <w:t>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ind w:right="120" w:hanging="0"/>
              <w:jc w:val="both"/>
              <w:rPr/>
            </w:pPr>
            <w:r>
              <w:rPr>
                <w:rFonts w:eastAsia="Times New Roman" w:cs="Times New Roman" w:ascii="Times New Roman" w:hAnsi="Times New Roman"/>
                <w:sz w:val="24"/>
                <w:szCs w:val="24"/>
              </w:rPr>
              <w:t>Не передбачається.</w:t>
            </w:r>
          </w:p>
          <w:p>
            <w:pPr>
              <w:pStyle w:val="Normal"/>
              <w:widowControl w:val="false"/>
              <w:shd w:val="clear" w:fill="FFFFFF"/>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color w:val="000000"/>
                <w:sz w:val="24"/>
                <w:szCs w:val="24"/>
              </w:rPr>
              <w:t xml:space="preserve"> Особливостей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w:t>
            </w:r>
            <w:r>
              <w:rPr>
                <w:rFonts w:eastAsia="Times New Roman" w:cs="Times New Roman" w:ascii="Times New Roman" w:hAnsi="Times New Roman"/>
                <w:color w:val="000000"/>
                <w:sz w:val="24"/>
                <w:szCs w:val="24"/>
              </w:rPr>
              <w:t xml:space="preserve">ене </w:t>
            </w:r>
            <w:r>
              <w:fldChar w:fldCharType="begin"/>
            </w:r>
            <w:r>
              <w:instrText> HYPERLINK "https://zakon.rada.gov.ua/laws/show/2210-14" \l "n52"</w:instrText>
            </w:r>
            <w:r>
              <w:fldChar w:fldCharType="separate"/>
            </w:r>
            <w:r>
              <w:rPr>
                <w:rStyle w:val="Style8"/>
                <w:rFonts w:eastAsia="Times New Roman" w:cs="Times New Roman" w:ascii="Times New Roman" w:hAnsi="Times New Roman"/>
                <w:color w:val="000000"/>
                <w:sz w:val="24"/>
                <w:szCs w:val="24"/>
              </w:rPr>
              <w:t>пунктом 4</w:t>
            </w:r>
            <w: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hanging="0"/>
              <w:jc w:val="both"/>
              <w:rPr/>
            </w:pPr>
            <w:r>
              <w:rPr>
                <w:rFonts w:eastAsia="Times New Roman" w:cs="Times New Roman" w:ascii="Times New Roman" w:hAnsi="Times New Roman"/>
                <w:sz w:val="24"/>
                <w:szCs w:val="24"/>
                <w:highlight w:val="white"/>
              </w:rPr>
              <w:t xml:space="preserve">8) учасник процедури закупівлі визнаний в </w:t>
            </w:r>
            <w:r>
              <w:rPr>
                <w:rFonts w:eastAsia="Times New Roman" w:cs="Times New Roman" w:ascii="Times New Roman" w:hAnsi="Times New Roman"/>
                <w:sz w:val="24"/>
                <w:szCs w:val="24"/>
              </w:rPr>
              <w:t>установленому законом порядку банкрутом та стосовно нього відкрита ліквідаційна процедура;</w:t>
            </w:r>
          </w:p>
          <w:p>
            <w:pPr>
              <w:pStyle w:val="Normal"/>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eastAsia="Times New Roman" w:cs="Times New Roman" w:ascii="Times New Roman" w:hAnsi="Times New Roman"/>
                <w:color w:val="000000"/>
                <w:sz w:val="24"/>
                <w:szCs w:val="24"/>
              </w:rPr>
              <w:t xml:space="preserve"> у неї </w:t>
            </w:r>
            <w:r>
              <w:rPr>
                <w:rFonts w:eastAsia="Times New Roman" w:cs="Times New Roman" w:ascii="Times New Roman" w:hAnsi="Times New Roman"/>
                <w:color w:val="000000"/>
                <w:sz w:val="24"/>
                <w:szCs w:val="24"/>
                <w:highlight w:val="white"/>
              </w:rPr>
              <w:t>пу</w:t>
            </w:r>
            <w:r>
              <w:rPr>
                <w:rFonts w:eastAsia="Times New Roman" w:cs="Times New Roman" w:ascii="Times New Roman" w:hAnsi="Times New Roman"/>
                <w:sz w:val="24"/>
                <w:szCs w:val="24"/>
                <w:highlight w:val="white"/>
              </w:rPr>
              <w:t>блічних закупівель товарів, робіт і послуг згідно із Законом України “Про санкції”,</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rPr>
              <w:t>крім випадку, коли активи такої особи в установленому законодавством порядку передані в управління АРМА;</w:t>
            </w:r>
          </w:p>
          <w:p>
            <w:pPr>
              <w:pStyle w:val="Normal"/>
              <w:ind w:firstLine="567"/>
              <w:jc w:val="both"/>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акупівлі не може бути відмовлено в участі в процедурі закупівлі.</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before="0" w:after="160"/>
              <w:jc w:val="both"/>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r>
              <w:rPr>
                <w:rFonts w:eastAsia="Times New Roman" w:cs="Times New Roman" w:ascii="Times New Roman" w:hAnsi="Times New Roman"/>
                <w:b/>
                <w:bCs/>
                <w:color w:val="000000"/>
                <w:sz w:val="24"/>
                <w:szCs w:val="24"/>
                <w:highlight w:val="white"/>
                <w:lang w:val="uk-UA" w:eastAsia="ru-RU"/>
              </w:rPr>
              <w:t>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4">
              <w:r>
                <w:rPr>
                  <w:rStyle w:val="Style8"/>
                  <w:rFonts w:eastAsia="Times New Roman" w:cs="Times New Roman" w:ascii="Times New Roman" w:hAnsi="Times New Roman"/>
                  <w:sz w:val="24"/>
                  <w:szCs w:val="24"/>
                </w:rPr>
                <w:t xml:space="preserve"> пунктом третім </w:t>
              </w:r>
            </w:hyperlink>
            <w:hyperlink r:id="rId5">
              <w:r>
                <w:rPr>
                  <w:rStyle w:val="Style8"/>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color w:val="000000"/>
              </w:rPr>
            </w:pPr>
            <w:r>
              <w:rPr>
                <w:rFonts w:eastAsia="Times New Roman" w:cs="Times New Roman" w:ascii="Times New Roman" w:hAnsi="Times New Roman"/>
                <w:b/>
                <w:color w:val="000000"/>
                <w:sz w:val="24"/>
                <w:szCs w:val="24"/>
              </w:rPr>
              <w:t>Інформація про субпідрядника /співвиконавця (у випадку закупівлі робіт чи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color w:val="000000"/>
                <w:sz w:val="24"/>
                <w:szCs w:val="24"/>
                <w:highlight w:val="white"/>
              </w:rPr>
              <w:t>(надається у разі залучення).</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sz w:val="24"/>
                <w:szCs w:val="24"/>
              </w:rPr>
              <w:t>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both"/>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31.01.2024 </w:t>
            </w:r>
            <w:r>
              <w:rPr>
                <w:rFonts w:eastAsia="Times New Roman" w:cs="Times New Roman" w:ascii="Times New Roman" w:hAnsi="Times New Roman"/>
                <w:b w:val="false"/>
                <w:bCs w:val="false"/>
                <w:color w:val="000000"/>
                <w:sz w:val="24"/>
                <w:szCs w:val="24"/>
              </w:rPr>
              <w:t>року до 00:00 год.</w:t>
            </w:r>
            <w:r>
              <w:rPr>
                <w:rFonts w:eastAsia="Times New Roman" w:cs="Times New Roman" w:ascii="Times New Roman" w:hAnsi="Times New Roman"/>
                <w:color w:val="000000"/>
                <w:sz w:val="24"/>
                <w:szCs w:val="24"/>
              </w:rPr>
              <w:t xml:space="preserve"> </w:t>
            </w:r>
          </w:p>
          <w:p>
            <w:pPr>
              <w:pStyle w:val="Normal"/>
              <w:widowControl w:val="false"/>
              <w:jc w:val="both"/>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highlight w:val="white"/>
              </w:rPr>
              <w:t>Дата та час розкриття тендерної пропозиції</w:t>
            </w:r>
            <w:r>
              <w:rPr>
                <w:rFonts w:eastAsia="Times New Roman" w:cs="Times New Roman" w:ascii="Times New Roman" w:hAnsi="Times New Roman"/>
                <w:b/>
                <w:color w:val="000000"/>
                <w:sz w:val="28"/>
                <w:szCs w:val="28"/>
                <w:highlight w:val="white"/>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hd w:val="clear" w:fill="FFFFFF"/>
              <w:jc w:val="both"/>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hd w:val="clear" w:fill="FFFFFF"/>
              <w:jc w:val="both"/>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28"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sz w:val="24"/>
                <w:szCs w:val="24"/>
                <w:highlight w:val="white"/>
              </w:rPr>
              <w:t>47</w:t>
            </w:r>
            <w: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hd w:val="clear" w:fill="FFFFFF"/>
              <w:jc w:val="both"/>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HYPERLINK "https://zakon.rada.gov.ua/laws/show/922-19" \l "n1553"</w:instrText>
            </w:r>
            <w:r>
              <w:fldChar w:fldCharType="separate"/>
            </w:r>
            <w:r>
              <w:rPr>
                <w:rStyle w:val="Style8"/>
                <w:rFonts w:eastAsia="Times New Roman" w:cs="Times New Roman" w:ascii="Times New Roman" w:hAnsi="Times New Roman"/>
                <w:color w:val="000000"/>
                <w:sz w:val="24"/>
                <w:szCs w:val="24"/>
                <w:highlight w:val="white"/>
              </w:rPr>
              <w:t>шістнадцятої</w:t>
            </w:r>
            <w:r>
              <w:fldChar w:fldCharType="end"/>
            </w:r>
            <w:r>
              <w:rPr>
                <w:rFonts w:eastAsia="Times New Roman" w:cs="Times New Roman" w:ascii="Times New Roman" w:hAnsi="Times New Roman"/>
                <w:color w:val="000000"/>
                <w:sz w:val="24"/>
                <w:szCs w:val="24"/>
                <w:highlight w:val="white"/>
              </w:rPr>
              <w:t>, абзаці</w:t>
            </w:r>
            <w:r>
              <w:rPr>
                <w:rFonts w:eastAsia="Times New Roman" w:cs="Times New Roman" w:ascii="Times New Roman" w:hAnsi="Times New Roman"/>
                <w:sz w:val="24"/>
                <w:szCs w:val="24"/>
                <w:highlight w:val="white"/>
              </w:rPr>
              <w:t>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pPr>
            <w:r>
              <w:rPr>
                <w:rFonts w:eastAsia="Times New Roman" w:cs="Times New Roman" w:ascii="Times New Roman" w:hAnsi="Times New Roman"/>
                <w:b/>
                <w:color w:val="000000"/>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shd w:val="clear" w:fill="FFFFFF"/>
              <w:jc w:val="both"/>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pPr>
            <w:r>
              <w:rPr>
                <w:rFonts w:eastAsia="Times New Roman" w:cs="Times New Roman" w:ascii="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Pr>
                <w:rFonts w:eastAsia="Times New Roman" w:cs="Times New Roman" w:ascii="Times New Roman" w:hAnsi="Times New Roman"/>
                <w:b/>
                <w:bCs/>
                <w:sz w:val="24"/>
                <w:szCs w:val="24"/>
                <w:highlight w:val="white"/>
              </w:rPr>
              <w:t xml:space="preserve">не повинен перевищувати п’яти робочих днів </w:t>
            </w:r>
            <w:r>
              <w:rPr>
                <w:rFonts w:eastAsia="Times New Roman" w:cs="Times New Roman" w:ascii="Times New Roman" w:hAnsi="Times New Roman"/>
                <w:b w:val="false"/>
                <w:bCs w:val="false"/>
                <w:sz w:val="24"/>
                <w:szCs w:val="24"/>
                <w:highlight w:val="white"/>
              </w:rPr>
              <w:t>з дня</w:t>
            </w:r>
            <w:r>
              <w:rPr>
                <w:rFonts w:eastAsia="Times New Roman" w:cs="Times New Roman" w:ascii="Times New Roman" w:hAnsi="Times New Roman"/>
                <w:sz w:val="24"/>
                <w:szCs w:val="24"/>
                <w:highlight w:val="white"/>
              </w:rPr>
              <w:t xml:space="preserve">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pPr>
            <w:r>
              <w:rPr>
                <w:rFonts w:eastAsia="Times New Roman" w:cs="Times New Roman" w:ascii="Times New Roman" w:hAnsi="Times New Roman"/>
                <w:color w:val="000000"/>
                <w:sz w:val="24"/>
                <w:szCs w:val="24"/>
              </w:rPr>
              <w:t xml:space="preserve">Ціна тендерної пропозиції </w:t>
            </w:r>
            <w:r>
              <w:rPr>
                <w:rFonts w:eastAsia="Times New Roman" w:cs="Times New Roman" w:ascii="Times New Roman" w:hAnsi="Times New Roman"/>
                <w:b/>
                <w:bCs/>
                <w:color w:val="000000"/>
                <w:sz w:val="24"/>
                <w:szCs w:val="24"/>
                <w:u w:val="single"/>
              </w:rPr>
              <w:t>не може</w:t>
            </w:r>
            <w:r>
              <w:rPr>
                <w:rFonts w:eastAsia="Times New Roman" w:cs="Times New Roman" w:ascii="Times New Roman" w:hAnsi="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pPr>
            <w:r>
              <w:rPr>
                <w:rFonts w:eastAsia="Times New Roman" w:cs="Times New Roman" w:ascii="Times New Roman" w:hAnsi="Times New Roman"/>
                <w:color w:val="000000"/>
                <w:sz w:val="24"/>
                <w:szCs w:val="24"/>
              </w:rPr>
              <w:t xml:space="preserve">До розгляду </w:t>
            </w:r>
            <w:r>
              <w:rPr>
                <w:rFonts w:eastAsia="Times New Roman" w:cs="Times New Roman" w:ascii="Times New Roman" w:hAnsi="Times New Roman"/>
                <w:b/>
                <w:bCs/>
                <w:color w:val="000000"/>
                <w:sz w:val="24"/>
                <w:szCs w:val="24"/>
                <w:u w:val="single"/>
              </w:rPr>
              <w:t xml:space="preserve">не приймається </w:t>
            </w:r>
            <w:r>
              <w:rPr>
                <w:rFonts w:eastAsia="Times New Roman" w:cs="Times New Roman" w:ascii="Times New Roman" w:hAnsi="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jc w:val="both"/>
              <w:rPr/>
            </w:pPr>
            <w:r>
              <w:rPr>
                <w:rFonts w:eastAsia="Times New Roman" w:cs="Times New Roman" w:ascii="Times New Roman" w:hAnsi="Times New Roman"/>
                <w:b w:val="false"/>
                <w:bCs w:val="false"/>
                <w:color w:val="000000"/>
                <w:sz w:val="24"/>
                <w:szCs w:val="24"/>
              </w:rPr>
              <w:t>Оцінка здійснюється щодо предмета закупівлі в цілому.</w:t>
            </w:r>
          </w:p>
          <w:p>
            <w:pPr>
              <w:pStyle w:val="Normal"/>
              <w:widowControl w:val="false"/>
              <w:jc w:val="both"/>
              <w:rPr/>
            </w:pPr>
            <w:r>
              <w:rPr>
                <w:rFonts w:eastAsia="Times New Roman" w:cs="Times New Roman" w:ascii="Times New Roman" w:hAnsi="Times New Roman"/>
                <w:b w:val="false"/>
                <w:bCs w:val="false"/>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pPr>
              <w:pStyle w:val="Normal"/>
              <w:widowControl w:val="false"/>
              <w:jc w:val="both"/>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w:t>
            </w:r>
            <w:r>
              <w:rPr>
                <w:rFonts w:eastAsia="Times New Roman" w:cs="Times New Roman" w:ascii="Times New Roman" w:hAnsi="Times New Roman"/>
                <w:b/>
                <w:bCs/>
                <w:sz w:val="24"/>
                <w:szCs w:val="24"/>
              </w:rPr>
              <w:t xml:space="preserve"> 0,5 %</w:t>
            </w:r>
          </w:p>
          <w:p>
            <w:pPr>
              <w:pStyle w:val="Rvps2"/>
              <w:widowControl w:val="false"/>
              <w:spacing w:before="0" w:after="150"/>
              <w:ind w:left="0" w:right="0" w:firstLine="450"/>
              <w:jc w:val="both"/>
              <w:rPr/>
            </w:pPr>
            <w:r>
              <w:rPr>
                <w:rStyle w:val="Spanrvts0"/>
                <w:b w:val="false"/>
                <w:bCs w:val="false"/>
                <w:i w:val="false"/>
                <w:iCs w:val="false"/>
                <w:sz w:val="24"/>
                <w:szCs w:val="24"/>
                <w:lang w:val="uk" w:eastAsia="uk"/>
              </w:rPr>
              <w:t xml:space="preserve">Учасник процедури закупівлі, який надав найбільш економічно вигідну тендерну пропозицію, що </w:t>
            </w:r>
            <w:r>
              <w:rPr>
                <w:rStyle w:val="Spanrvts0"/>
                <w:b/>
                <w:bCs/>
                <w:i w:val="false"/>
                <w:iCs w:val="false"/>
                <w:sz w:val="24"/>
                <w:szCs w:val="24"/>
                <w:lang w:val="uk" w:eastAsia="uk"/>
              </w:rPr>
              <w:t xml:space="preserve">є аномально низькою </w:t>
            </w:r>
            <w:r>
              <w:rPr>
                <w:rStyle w:val="Spanrvts0"/>
                <w:b w:val="false"/>
                <w:bCs w:val="false"/>
                <w:i w:val="false"/>
                <w:iCs w:val="false"/>
                <w:sz w:val="24"/>
                <w:szCs w:val="24"/>
                <w:lang w:val="uk" w:eastAsia="uk"/>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Pr>
                <w:rStyle w:val="Spanrvts0"/>
                <w:b/>
                <w:bCs/>
                <w:i w:val="false"/>
                <w:iCs w:val="false"/>
                <w:sz w:val="24"/>
                <w:szCs w:val="24"/>
                <w:lang w:val="uk" w:eastAsia="uk"/>
              </w:rPr>
              <w:t>протягом одного робочого</w:t>
            </w:r>
            <w:r>
              <w:rPr>
                <w:rStyle w:val="Spanrvts0"/>
                <w:b w:val="false"/>
                <w:bCs w:val="false"/>
                <w:i w:val="false"/>
                <w:iCs w:val="false"/>
                <w:sz w:val="24"/>
                <w:szCs w:val="24"/>
                <w:lang w:val="uk" w:eastAsia="uk"/>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pPr>
            <w:r>
              <w:rPr>
                <w:rFonts w:eastAsia="Times New Roman" w:cs="Times New Roman"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w:t>
            </w:r>
            <w:hyperlink w:anchor="n581">
              <w:r>
                <w:rPr>
                  <w:rStyle w:val="Arvts99"/>
                  <w:b w:val="false"/>
                  <w:bCs w:val="false"/>
                  <w:i w:val="false"/>
                  <w:iCs w:val="false"/>
                  <w:color w:val="000000"/>
                  <w:sz w:val="24"/>
                  <w:szCs w:val="24"/>
                  <w:lang w:val="uk" w:eastAsia="uk"/>
                </w:rPr>
                <w:t>абзацом дев’ятим</w:t>
              </w:r>
            </w:hyperlink>
            <w:r>
              <w:rPr>
                <w:rStyle w:val="Spanrvts0"/>
                <w:b w:val="false"/>
                <w:bCs w:val="false"/>
                <w:i w:val="false"/>
                <w:iCs w:val="false"/>
                <w:color w:val="000000"/>
                <w:sz w:val="24"/>
                <w:szCs w:val="24"/>
                <w:lang w:val="uk" w:eastAsia="uk"/>
              </w:rPr>
              <w:t xml:space="preserve"> пункту 37 </w:t>
            </w:r>
            <w:r>
              <w:rPr>
                <w:rStyle w:val="Spanrvts0"/>
                <w:b w:val="false"/>
                <w:bCs w:val="false"/>
                <w:i w:val="false"/>
                <w:iCs w:val="false"/>
                <w:color w:val="000000"/>
                <w:sz w:val="24"/>
                <w:szCs w:val="24"/>
                <w:lang w:val="uk-UA" w:eastAsia="uk"/>
              </w:rPr>
              <w:t>О</w:t>
            </w:r>
            <w:r>
              <w:rPr>
                <w:rStyle w:val="Spanrvts0"/>
                <w:b w:val="false"/>
                <w:bCs w:val="false"/>
                <w:i w:val="false"/>
                <w:iCs w:val="false"/>
                <w:color w:val="000000"/>
                <w:sz w:val="24"/>
                <w:szCs w:val="24"/>
                <w:lang w:val="uk" w:eastAsia="uk"/>
              </w:rPr>
              <w:t>собливостей.</w:t>
            </w:r>
          </w:p>
          <w:p>
            <w:pPr>
              <w:pStyle w:val="Normal"/>
              <w:widowControl w:val="false"/>
              <w:jc w:val="both"/>
              <w:rPr/>
            </w:pPr>
            <w:r>
              <w:rPr>
                <w:rFonts w:eastAsia="Times New Roman" w:cs="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keepNext w:val="false"/>
              <w:keepLines w:val="false"/>
              <w:widowControl w:val="false"/>
              <w:numPr>
                <w:ilvl w:val="0"/>
                <w:numId w:val="2"/>
              </w:numPr>
              <w:shd w:val="clear" w:fill="auto"/>
              <w:bidi w:val="0"/>
              <w:spacing w:lineRule="auto" w:line="259" w:before="0" w:after="0"/>
              <w:ind w:left="113" w:right="0" w:hanging="0"/>
              <w:jc w:val="left"/>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keepNext w:val="false"/>
              <w:keepLines w:val="false"/>
              <w:widowControl w:val="false"/>
              <w:numPr>
                <w:ilvl w:val="0"/>
                <w:numId w:val="2"/>
              </w:numPr>
              <w:shd w:val="clear" w:fill="auto"/>
              <w:bidi w:val="0"/>
              <w:spacing w:lineRule="auto" w:line="259" w:before="0" w:after="0"/>
              <w:ind w:left="113" w:right="0" w:hanging="0"/>
              <w:jc w:val="left"/>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keepNext w:val="false"/>
              <w:keepLines w:val="false"/>
              <w:widowControl w:val="false"/>
              <w:numPr>
                <w:ilvl w:val="0"/>
                <w:numId w:val="2"/>
              </w:numPr>
              <w:shd w:val="clear" w:fill="auto"/>
              <w:bidi w:val="0"/>
              <w:spacing w:lineRule="auto" w:line="259" w:before="0" w:after="160"/>
              <w:ind w:left="113" w:right="0" w:hanging="0"/>
              <w:jc w:val="left"/>
              <w:rPr/>
            </w:pPr>
            <w:r>
              <w:rPr>
                <w:rStyle w:val="Spanrvts0"/>
                <w:rFonts w:eastAsia="Times New Roman" w:cs="Times New Roman" w:ascii="Times New Roman" w:hAnsi="Times New Roman"/>
                <w:b w:val="false"/>
                <w:bCs w:val="false"/>
                <w:i w:val="false"/>
                <w:iCs w:val="false"/>
                <w:caps w:val="false"/>
                <w:smallCaps w:val="false"/>
                <w:strike w:val="false"/>
                <w:dstrike w:val="false"/>
                <w:color w:val="000000"/>
                <w:position w:val="0"/>
                <w:sz w:val="24"/>
                <w:sz w:val="24"/>
                <w:szCs w:val="24"/>
                <w:u w:val="none"/>
                <w:shd w:fill="auto" w:val="clear"/>
                <w:vertAlign w:val="baseline"/>
                <w:lang w:val="uk" w:eastAsia="uk"/>
              </w:rPr>
              <w:t>-отримання учасником державної допомоги згідно із законодавством.</w:t>
            </w:r>
          </w:p>
          <w:p>
            <w:pPr>
              <w:pStyle w:val="Normal"/>
              <w:shd w:val="clear" w:fill="FFFFFF"/>
              <w:jc w:val="both"/>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fill="FFFFFF"/>
              <w:jc w:val="both"/>
              <w:rPr/>
            </w:pPr>
            <w:r>
              <w:rPr>
                <w:rFonts w:eastAsia="Times New Roman" w:cs="Times New Roman" w:ascii="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p>
          <w:p>
            <w:pPr>
              <w:pStyle w:val="Normal"/>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hd w:val="clear" w:fill="FFFFFF"/>
              <w:jc w:val="both"/>
              <w:rPr/>
            </w:pPr>
            <w:r>
              <w:rPr>
                <w:rFonts w:eastAsia="Times New Roman" w:cs="Times New Roman" w:ascii="Times New Roman" w:hAnsi="Times New Roman"/>
                <w:sz w:val="24"/>
                <w:szCs w:val="24"/>
                <w:highlight w:val="white"/>
              </w:rPr>
              <w:t>учасника процедури закупівлі.</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Pr>
                <w:rFonts w:eastAsia="Times New Roman" w:cs="Times New Roman" w:ascii="Times New Roman" w:hAnsi="Times New Roman"/>
                <w:b/>
                <w:bCs/>
                <w:color w:val="000000"/>
                <w:sz w:val="24"/>
                <w:szCs w:val="24"/>
                <w:highlight w:val="white"/>
              </w:rPr>
              <w:t>який не може бути меншим, ніж два  робочі дні до закінчення строку розгляду тендерних пропозицій</w:t>
            </w:r>
            <w:r>
              <w:rPr>
                <w:rFonts w:eastAsia="Times New Roman" w:cs="Times New Roman" w:ascii="Times New Roman" w:hAnsi="Times New Roman"/>
                <w:b w:val="false"/>
                <w:bCs w:val="false"/>
                <w:color w:val="000000"/>
                <w:sz w:val="24"/>
                <w:szCs w:val="24"/>
                <w:highlight w:val="white"/>
              </w:rPr>
              <w:t>, повідомлення з вимогою про усунення таких невідповідностей в електронній системі закупівель.</w:t>
            </w:r>
          </w:p>
          <w:p>
            <w:pPr>
              <w:pStyle w:val="Normal"/>
              <w:jc w:val="both"/>
              <w:rPr/>
            </w:pPr>
            <w:r>
              <w:rPr>
                <w:rFonts w:eastAsia="Times New Roman" w:cs="Times New Roman" w:ascii="Times New Roman" w:hAnsi="Times New Roman"/>
                <w:b w:val="false"/>
                <w:bCs w:val="false"/>
                <w:sz w:val="24"/>
                <w:szCs w:val="24"/>
                <w:highlight w:val="white"/>
              </w:rPr>
              <w:t>Під невідповідніс</w:t>
            </w:r>
            <w:r>
              <w:rPr>
                <w:rFonts w:eastAsia="Times New Roman" w:cs="Times New Roman" w:ascii="Times New Roman" w:hAnsi="Times New Roman"/>
                <w:sz w:val="24"/>
                <w:szCs w:val="24"/>
                <w:highlight w:val="white"/>
              </w:rPr>
              <w:t>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Pr>
                <w:rFonts w:eastAsia="Times New Roman" w:cs="Times New Roman" w:ascii="Times New Roman" w:hAnsi="Times New Roman"/>
                <w:b/>
                <w:bCs/>
                <w:sz w:val="24"/>
                <w:szCs w:val="24"/>
                <w:highlight w:val="white"/>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w:t>
            </w:r>
            <w:r>
              <w:rPr>
                <w:rFonts w:eastAsia="Times New Roman" w:cs="Times New Roman" w:ascii="Times New Roman" w:hAnsi="Times New Roman"/>
                <w:sz w:val="24"/>
                <w:szCs w:val="24"/>
                <w:highlight w:val="white"/>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bCs/>
                <w:sz w:val="24"/>
                <w:szCs w:val="24"/>
                <w:highlight w:val="white"/>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28" w:before="0" w:after="160"/>
              <w:jc w:val="both"/>
              <w:rPr>
                <w:b w:val="false"/>
                <w:b w:val="false"/>
                <w:bCs w:val="false"/>
              </w:rPr>
            </w:pPr>
            <w:r>
              <w:rPr>
                <w:rFonts w:eastAsia="Times New Roman" w:cs="Times New Roman" w:ascii="Times New Roman" w:hAnsi="Times New Roman"/>
                <w:b w:val="false"/>
                <w:bCs w:val="false"/>
                <w:sz w:val="24"/>
                <w:szCs w:val="24"/>
                <w:highlight w:val="white"/>
              </w:rPr>
              <w:t xml:space="preserve"> </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Інша інформація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b/>
                <w:b/>
                <w:bCs/>
                <w:i w:val="false"/>
                <w:i w:val="false"/>
                <w:iCs w:val="false"/>
              </w:rPr>
            </w:pPr>
            <w:r>
              <w:rPr>
                <w:rFonts w:eastAsia="Times New Roman" w:cs="Times New Roman" w:ascii="Times New Roman" w:hAnsi="Times New Roman"/>
                <w:b/>
                <w:bCs/>
                <w:i w:val="false"/>
                <w:iCs w:val="false"/>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b/>
                <w:bCs/>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b/>
                <w:bCs/>
                <w:sz w:val="24"/>
                <w:szCs w:val="24"/>
              </w:rPr>
              <w:t>у</w:t>
            </w:r>
            <w:r>
              <w:rPr>
                <w:rFonts w:eastAsia="Times New Roman" w:cs="Times New Roman" w:ascii="Times New Roman" w:hAnsi="Times New Roman"/>
                <w:b/>
                <w:bCs/>
                <w:color w:val="000000"/>
                <w:sz w:val="24"/>
                <w:szCs w:val="24"/>
              </w:rPr>
              <w:t xml:space="preserve"> якому зазначає законодавчі підстави ненадання відповідних документів або ненакладення електронного підпису, або або надає копію/ї роз'яснення/нь державних органів щодо цього.</w:t>
            </w:r>
          </w:p>
          <w:p>
            <w:pPr>
              <w:pStyle w:val="Normal"/>
              <w:widowControl w:val="false"/>
              <w:jc w:val="both"/>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rFonts w:eastAsia="Times New Roman" w:cs="Times New Roman" w:ascii="Times New Roman" w:hAnsi="Times New Roman"/>
                <w:color w:val="000000"/>
                <w:sz w:val="24"/>
                <w:szCs w:val="24"/>
              </w:rPr>
              <w:t xml:space="preserve">6. </w:t>
            </w:r>
            <w:r>
              <w:rPr>
                <w:rFonts w:eastAsia="Times New Roman" w:cs="Times New Roman" w:ascii="Times New Roman" w:hAnsi="Times New Roman"/>
                <w:b/>
                <w:bCs/>
                <w:i w:val="false"/>
                <w:iCs w:val="false"/>
                <w:color w:val="000000"/>
                <w:sz w:val="24"/>
                <w:szCs w:val="24"/>
              </w:rPr>
              <w:t xml:space="preserve">Факт подання тендерної пропозиції учасником </w:t>
            </w:r>
            <w:r>
              <w:rPr>
                <w:rFonts w:eastAsia="Times New Roman" w:cs="Times New Roman" w:ascii="Times New Roman" w:hAnsi="Times New Roman"/>
                <w:b/>
                <w:bCs/>
                <w:i w:val="false"/>
                <w:iCs w:val="false"/>
                <w:sz w:val="24"/>
                <w:szCs w:val="24"/>
              </w:rPr>
              <w:t>—</w:t>
            </w:r>
            <w:r>
              <w:rPr>
                <w:rFonts w:eastAsia="Times New Roman" w:cs="Times New Roman" w:ascii="Times New Roman" w:hAnsi="Times New Roman"/>
                <w:b/>
                <w:bCs/>
                <w:i w:val="false"/>
                <w:iCs w:val="false"/>
                <w:color w:val="000000"/>
                <w:sz w:val="24"/>
                <w:szCs w:val="24"/>
              </w:rPr>
              <w:t xml:space="preserve"> фізичною особою чи фізичною особою</w:t>
            </w:r>
            <w:r>
              <w:rPr>
                <w:rFonts w:eastAsia="Times New Roman" w:cs="Times New Roman" w:ascii="Times New Roman" w:hAnsi="Times New Roman"/>
                <w:b/>
                <w:bCs/>
                <w:i w:val="false"/>
                <w:iCs w:val="false"/>
                <w:sz w:val="24"/>
                <w:szCs w:val="24"/>
              </w:rPr>
              <w:t xml:space="preserve"> — </w:t>
            </w:r>
            <w:r>
              <w:rPr>
                <w:rFonts w:eastAsia="Times New Roman" w:cs="Times New Roman" w:ascii="Times New Roman" w:hAnsi="Times New Roman"/>
                <w:b/>
                <w:bCs/>
                <w:i w:val="false"/>
                <w:iCs w:val="false"/>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rFonts w:eastAsia="Times New Roman" w:cs="Times New Roman" w:ascii="Times New Roman" w:hAnsi="Times New Roman"/>
                <w:b/>
                <w:bCs/>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rFonts w:eastAsia="Times New Roman" w:cs="Times New Roman" w:ascii="Times New Roman" w:hAnsi="Times New Roman"/>
                <w:color w:val="000000"/>
                <w:sz w:val="24"/>
                <w:szCs w:val="24"/>
              </w:rPr>
              <w:t xml:space="preserve">8. </w:t>
            </w:r>
            <w:r>
              <w:rPr>
                <w:rFonts w:eastAsia="Times New Roman" w:cs="Times New Roman" w:ascii="Times New Roman" w:hAnsi="Times New Roman"/>
                <w:b/>
                <w:bCs/>
                <w:color w:val="000000"/>
                <w:sz w:val="24"/>
                <w:szCs w:val="24"/>
              </w:rPr>
              <w:t>Учасник, який подав тендерну пропозицію, вважається таким, що згодний з про</w:t>
            </w:r>
            <w:r>
              <w:rPr>
                <w:rFonts w:eastAsia="Times New Roman" w:cs="Times New Roman" w:ascii="Times New Roman" w:hAnsi="Times New Roman"/>
                <w:b/>
                <w:bCs/>
                <w:sz w:val="24"/>
                <w:szCs w:val="24"/>
              </w:rPr>
              <w:t>є</w:t>
            </w:r>
            <w:r>
              <w:rPr>
                <w:rFonts w:eastAsia="Times New Roman" w:cs="Times New Roman" w:ascii="Times New Roman" w:hAnsi="Times New Roman"/>
                <w:b/>
                <w:bCs/>
                <w:color w:val="000000"/>
                <w:sz w:val="24"/>
                <w:szCs w:val="24"/>
              </w:rPr>
              <w:t xml:space="preserve">ктом договору про закупівлю, викладеним </w:t>
            </w:r>
            <w:r>
              <w:rPr>
                <w:rFonts w:eastAsia="Times New Roman" w:cs="Times New Roman" w:ascii="Times New Roman" w:hAnsi="Times New Roman"/>
                <w:b/>
                <w:bCs/>
                <w:sz w:val="24"/>
                <w:szCs w:val="24"/>
              </w:rPr>
              <w:t>у</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i/>
                <w:color w:val="000000"/>
                <w:sz w:val="24"/>
                <w:szCs w:val="24"/>
              </w:rPr>
              <w:t>Додатку 3</w:t>
            </w:r>
            <w:r>
              <w:rPr>
                <w:rFonts w:eastAsia="Times New Roman" w:cs="Times New Roman" w:ascii="Times New Roman" w:hAnsi="Times New Roman"/>
                <w:b/>
                <w:bCs/>
                <w:color w:val="000000"/>
                <w:sz w:val="24"/>
                <w:szCs w:val="24"/>
              </w:rPr>
              <w:t xml:space="preserve"> до цієї тендерної документації.</w:t>
            </w:r>
          </w:p>
          <w:p>
            <w:pPr>
              <w:pStyle w:val="Normal"/>
              <w:widowControl w:val="false"/>
              <w:jc w:val="both"/>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w:t>
            </w:r>
          </w:p>
          <w:p>
            <w:pPr>
              <w:pStyle w:val="Normal"/>
              <w:widowControl w:val="false"/>
              <w:jc w:val="both"/>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Відхилення тендерних пропозицій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jc w:val="both"/>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shd w:val="clear" w:fill="FFFFFF"/>
              <w:ind w:firstLine="567"/>
              <w:jc w:val="both"/>
              <w:rPr>
                <w:b/>
                <w:b/>
                <w:bCs/>
              </w:rPr>
            </w:pPr>
            <w:r>
              <w:rPr>
                <w:rFonts w:eastAsia="Times New Roman" w:cs="Times New Roman" w:ascii="Times New Roman" w:hAnsi="Times New Roman"/>
                <w:b/>
                <w:bCs/>
                <w:sz w:val="24"/>
                <w:szCs w:val="24"/>
                <w:highlight w:val="white"/>
              </w:rPr>
              <w:t>1) учасник процедури закупівлі:</w:t>
            </w:r>
          </w:p>
          <w:p>
            <w:pPr>
              <w:pStyle w:val="Normal"/>
              <w:shd w:val="clear" w:fill="FFFFFF"/>
              <w:ind w:firstLine="567"/>
              <w:jc w:val="both"/>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28"/>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не надав забезпечення тендерної пропозиції, якщо таке забезпечення вимагалося замовником;</w:t>
            </w:r>
          </w:p>
          <w:p>
            <w:pPr>
              <w:pStyle w:val="Normal"/>
              <w:shd w:val="clear" w:fill="FFFFFF"/>
              <w:ind w:firstLine="567"/>
              <w:jc w:val="both"/>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fill="FFFFFF"/>
              <w:ind w:firstLine="567"/>
              <w:jc w:val="both"/>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spacing w:lineRule="auto" w:line="228"/>
              <w:ind w:firstLine="567"/>
              <w:jc w:val="both"/>
              <w:rPr>
                <w:rFonts w:ascii="Times New Roman" w:hAnsi="Times New Roman" w:eastAsia="Times New Roman" w:cs="Times New Roman"/>
                <w:b w:val="false"/>
                <w:b w:val="false"/>
                <w:bCs w:val="false"/>
                <w:i w:val="false"/>
                <w:i w:val="false"/>
                <w:iCs w:val="false"/>
                <w:sz w:val="24"/>
                <w:szCs w:val="24"/>
                <w:highlight w:val="white"/>
              </w:rPr>
            </w:pPr>
            <w:r>
              <w:rPr>
                <w:rFonts w:eastAsia="Times New Roman" w:cs="Times New Roman" w:ascii="Times New Roman" w:hAnsi="Times New Roman"/>
                <w:b w:val="false"/>
                <w:bCs w:val="false"/>
                <w:i w:val="false"/>
                <w:iCs w:val="false"/>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fill="FFFFFF"/>
              <w:ind w:firstLine="567"/>
              <w:jc w:val="both"/>
              <w:rPr>
                <w:b/>
                <w:b/>
                <w:bCs/>
              </w:rPr>
            </w:pPr>
            <w:r>
              <w:rPr>
                <w:rFonts w:eastAsia="Times New Roman" w:cs="Times New Roman" w:ascii="Times New Roman" w:hAnsi="Times New Roman"/>
                <w:b/>
                <w:bCs/>
                <w:sz w:val="24"/>
                <w:szCs w:val="24"/>
                <w:highlight w:val="white"/>
              </w:rPr>
              <w:t>2) тендерна пропозиція:</w:t>
            </w:r>
          </w:p>
          <w:p>
            <w:pPr>
              <w:pStyle w:val="Normal"/>
              <w:shd w:val="clear"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Pr>
                <w:rFonts w:eastAsia="Times New Roman" w:cs="Times New Roman" w:ascii="Times New Roman" w:hAnsi="Times New Roman"/>
                <w:color w:val="000000"/>
                <w:sz w:val="24"/>
                <w:szCs w:val="24"/>
                <w:highlight w:val="white"/>
              </w:rPr>
              <w:t xml:space="preserve">до </w:t>
            </w:r>
            <w:r>
              <w:fldChar w:fldCharType="begin"/>
            </w:r>
            <w:r>
              <w:instrText> HYPERLINK "https://zakon.rada.gov.ua/laws/show/1178-2022-п" \l "n131"</w:instrText>
            </w:r>
            <w:r>
              <w:fldChar w:fldCharType="separate"/>
            </w:r>
            <w:r>
              <w:rPr>
                <w:rStyle w:val="Style8"/>
                <w:rFonts w:eastAsia="Times New Roman" w:cs="Times New Roman" w:ascii="Times New Roman" w:hAnsi="Times New Roman"/>
                <w:color w:val="000000"/>
                <w:sz w:val="24"/>
                <w:szCs w:val="24"/>
                <w:highlight w:val="white"/>
              </w:rPr>
              <w:t>пункту 4</w:t>
            </w:r>
            <w:r>
              <w:fldChar w:fldCharType="end"/>
            </w:r>
            <w:r>
              <w:rPr>
                <w:rFonts w:eastAsia="Times New Roman" w:cs="Times New Roman" w:ascii="Times New Roman" w:hAnsi="Times New Roman"/>
                <w:color w:val="000000"/>
                <w:sz w:val="24"/>
                <w:szCs w:val="24"/>
                <w:highlight w:val="white"/>
              </w:rPr>
              <w:t>3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fill="FFFFFF"/>
              <w:ind w:firstLine="567"/>
              <w:jc w:val="both"/>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28"/>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b w:val="false"/>
                <w:bCs w:val="false"/>
                <w:i w:val="false"/>
                <w:iCs w:val="false"/>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fill="FFFFFF"/>
              <w:ind w:firstLine="567"/>
              <w:jc w:val="both"/>
              <w:rPr>
                <w:b/>
                <w:b/>
                <w:bCs/>
              </w:rPr>
            </w:pPr>
            <w:r>
              <w:rPr>
                <w:rFonts w:eastAsia="Times New Roman" w:cs="Times New Roman" w:ascii="Times New Roman" w:hAnsi="Times New Roman"/>
                <w:b/>
                <w:bCs/>
                <w:sz w:val="24"/>
                <w:szCs w:val="24"/>
                <w:highlight w:val="white"/>
              </w:rPr>
              <w:t>3) переможець процедури закупівлі:</w:t>
            </w:r>
          </w:p>
          <w:p>
            <w:pPr>
              <w:pStyle w:val="Normal"/>
              <w:shd w:val="clear" w:fill="FFFFFF"/>
              <w:ind w:firstLine="567"/>
              <w:jc w:val="both"/>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fill="FFFFFF"/>
              <w:ind w:firstLine="567"/>
              <w:jc w:val="both"/>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fill="FFFFFF"/>
              <w:ind w:firstLine="567"/>
              <w:jc w:val="both"/>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28"/>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b/>
                <w:bCs w:val="false"/>
                <w:i/>
                <w:iCs w:val="false"/>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pPr>
            <w:r>
              <w:rPr>
                <w:rFonts w:eastAsia="Times New Roman" w:cs="Times New Roman"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eastAsia="Times New Roman" w:cs="Times New Roman" w:ascii="Times New Roman" w:hAnsi="Times New Roman"/>
                <w:b/>
                <w:bCs/>
                <w:sz w:val="24"/>
                <w:szCs w:val="24"/>
                <w:highlight w:val="white"/>
              </w:rPr>
              <w:t>протягом одного дня</w:t>
            </w:r>
            <w:r>
              <w:rPr>
                <w:rFonts w:eastAsia="Times New Roman" w:cs="Times New Roman" w:ascii="Times New Roman" w:hAnsi="Times New Roman"/>
                <w:sz w:val="24"/>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fill="FFFFFF"/>
              <w:spacing w:lineRule="auto" w:line="228"/>
              <w:ind w:firstLine="567"/>
              <w:jc w:val="both"/>
              <w:rPr>
                <w:rFonts w:ascii="Times New Roman" w:hAnsi="Times New Roman" w:eastAsia="Times New Roman" w:cs="Times New Roman"/>
                <w:b w:val="false"/>
                <w:b w:val="false"/>
                <w:bCs w:val="false"/>
                <w:i w:val="false"/>
                <w:i w:val="false"/>
                <w:iCs w:val="false"/>
                <w:sz w:val="24"/>
                <w:szCs w:val="24"/>
                <w:highlight w:val="white"/>
              </w:rPr>
            </w:pPr>
            <w:r>
              <w:rPr>
                <w:rFonts w:eastAsia="Times New Roman" w:cs="Times New Roman" w:ascii="Times New Roman" w:hAnsi="Times New Roman"/>
                <w:b w:val="false"/>
                <w:bCs w:val="false"/>
                <w:i w:val="false"/>
                <w:iCs w:val="false"/>
                <w:sz w:val="24"/>
                <w:szCs w:val="24"/>
                <w:highlight w:val="white"/>
              </w:rPr>
            </w:r>
          </w:p>
          <w:p>
            <w:pPr>
              <w:pStyle w:val="Normal"/>
              <w:widowControl w:val="false"/>
              <w:shd w:val="clear" w:fill="FFFFFF"/>
              <w:spacing w:lineRule="auto" w:line="228" w:before="0" w:after="160"/>
              <w:ind w:firstLine="567"/>
              <w:jc w:val="both"/>
              <w:rPr/>
            </w:pPr>
            <w:r>
              <w:rPr>
                <w:rFonts w:eastAsia="Times New Roman" w:cs="Times New Roman" w:ascii="Times New Roman" w:hAnsi="Times New Roman"/>
                <w:b w:val="false"/>
                <w:bCs w:val="false"/>
                <w:i w:val="false"/>
                <w:iCs w:val="false"/>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w:t>
            </w:r>
            <w:r>
              <w:rPr>
                <w:rFonts w:eastAsia="Times New Roman" w:cs="Times New Roman" w:ascii="Times New Roman" w:hAnsi="Times New Roman"/>
                <w:b/>
                <w:bCs/>
                <w:i w:val="false"/>
                <w:iCs w:val="false"/>
                <w:sz w:val="24"/>
                <w:szCs w:val="24"/>
                <w:highlight w:val="white"/>
              </w:rPr>
              <w:t xml:space="preserve">як через чотири дні </w:t>
            </w:r>
            <w:r>
              <w:rPr>
                <w:rFonts w:eastAsia="Times New Roman" w:cs="Times New Roman" w:ascii="Times New Roman" w:hAnsi="Times New Roman"/>
                <w:b w:val="false"/>
                <w:bCs w:val="false"/>
                <w:i w:val="false"/>
                <w:iCs w:val="false"/>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pPr>
            <w:r>
              <w:rPr>
                <w:rFonts w:eastAsia="Times New Roman" w:cs="Times New Roman" w:ascii="Times New Roman" w:hAnsi="Times New Roman"/>
                <w:sz w:val="24"/>
                <w:szCs w:val="24"/>
              </w:rPr>
              <w:t xml:space="preserve">Електронною системою закупівель автоматично </w:t>
            </w:r>
            <w:r>
              <w:rPr>
                <w:rFonts w:eastAsia="Times New Roman" w:cs="Times New Roman" w:ascii="Times New Roman" w:hAnsi="Times New Roman"/>
                <w:b/>
                <w:bCs/>
                <w:sz w:val="24"/>
                <w:szCs w:val="24"/>
              </w:rPr>
              <w:t>протягом одного робочого дня</w:t>
            </w:r>
            <w:r>
              <w:rPr>
                <w:rFonts w:eastAsia="Times New Roman" w:cs="Times New Roman" w:ascii="Times New Roman" w:hAnsi="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before="0" w:after="160"/>
              <w:jc w:val="both"/>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Строк укладання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Проєкт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lineRule="auto" w:line="259"/>
              <w:ind w:right="120" w:hanging="0"/>
              <w:jc w:val="both"/>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lineRule="auto" w:line="259"/>
              <w:ind w:right="120" w:hanging="0"/>
              <w:jc w:val="both"/>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spacing w:lineRule="auto" w:line="259"/>
              <w:jc w:val="both"/>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1"/>
              </w:numPr>
              <w:spacing w:lineRule="auto" w:line="259"/>
              <w:ind w:left="720" w:hanging="360"/>
              <w:jc w:val="both"/>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spacing w:lineRule="auto" w:line="259" w:before="0" w:after="160"/>
              <w:jc w:val="both"/>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та підлягає відхиленню на підставі</w:t>
            </w:r>
            <w:r>
              <w:rPr>
                <w:rFonts w:eastAsia="Times New Roman" w:cs="Times New Roman" w:ascii="Times New Roman" w:hAnsi="Times New Roman"/>
                <w:i/>
                <w:sz w:val="24"/>
                <w:szCs w:val="24"/>
                <w:highlight w:val="white"/>
              </w:rPr>
              <w:t xml:space="preserve"> абзацу 2 підпункту 3  пункту 43 Особливостей.</w:t>
            </w:r>
          </w:p>
        </w:tc>
      </w:tr>
      <w:tr>
        <w:trPr>
          <w:trHeight w:val="210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Умови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0" w:after="160"/>
              <w:jc w:val="both"/>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fill="FFFFFF"/>
              <w:spacing w:lineRule="auto" w:line="240" w:before="120" w:after="160"/>
              <w:jc w:val="both"/>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spacing w:before="0" w:after="160"/>
              <w:jc w:val="both"/>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ind w:right="120" w:hanging="0"/>
              <w:jc w:val="both"/>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r>
              <w:rPr>
                <w:rFonts w:eastAsia="Times New Roman" w:cs="Times New Roman" w:ascii="Times New Roman" w:hAnsi="Times New Roman"/>
                <w:color w:val="000000"/>
                <w:sz w:val="24"/>
                <w:szCs w:val="24"/>
                <w:highlight w:val="white"/>
              </w:rPr>
              <w:t xml:space="preserve"> </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bidi w:val="0"/>
        <w:spacing w:lineRule="auto" w:line="240" w:before="0" w:after="0"/>
        <w:jc w:val="both"/>
        <w:rPr/>
      </w:pPr>
      <w:r>
        <w:rPr>
          <w:rFonts w:eastAsia="Times New Roman" w:cs="Times New Roman" w:ascii="Times New Roman" w:hAnsi="Times New Roman"/>
          <w:sz w:val="24"/>
          <w:szCs w:val="24"/>
          <w:highlight w:val="white"/>
        </w:rPr>
        <w:t xml:space="preserve">Додатки: </w:t>
        <w:tab/>
        <w:tab/>
        <w:tab/>
        <w:t>1. Додаток 1 до тендерної документації на</w:t>
      </w:r>
      <w:r>
        <w:rPr>
          <w:rFonts w:eastAsia="Times New Roman" w:cs="Times New Roman" w:ascii="Times New Roman" w:hAnsi="Times New Roman"/>
          <w:sz w:val="24"/>
          <w:szCs w:val="24"/>
          <w:highlight w:val="white"/>
          <w:u w:val="single"/>
        </w:rPr>
        <w:t xml:space="preserve"> </w:t>
      </w:r>
      <w:r>
        <w:rPr>
          <w:rFonts w:eastAsia="Times New Roman" w:cs="Times New Roman" w:ascii="Times New Roman" w:hAnsi="Times New Roman"/>
          <w:sz w:val="24"/>
          <w:szCs w:val="24"/>
          <w:u w:val="single"/>
          <w:lang w:val="en-US"/>
        </w:rPr>
        <w:t>12</w:t>
      </w:r>
      <w:r>
        <w:rPr>
          <w:rFonts w:eastAsia="Times New Roman" w:cs="Times New Roman" w:ascii="Times New Roman" w:hAnsi="Times New Roman"/>
          <w:sz w:val="24"/>
          <w:szCs w:val="24"/>
        </w:rPr>
        <w:t xml:space="preserve"> арк. в 1 прим.</w:t>
      </w:r>
    </w:p>
    <w:p>
      <w:pPr>
        <w:pStyle w:val="Normal"/>
        <w:widowControl w:val="false"/>
        <w:bidi w:val="0"/>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 Додаток 2 до тендерної документації на </w:t>
      </w:r>
      <w:r>
        <w:rPr>
          <w:rFonts w:eastAsia="Times New Roman" w:cs="Times New Roman" w:ascii="Times New Roman" w:hAnsi="Times New Roman"/>
          <w:sz w:val="24"/>
          <w:szCs w:val="24"/>
          <w:u w:val="single"/>
          <w:lang w:val="en-US"/>
        </w:rPr>
        <w:t>3</w:t>
      </w:r>
      <w:r>
        <w:rPr>
          <w:rFonts w:eastAsia="Times New Roman" w:cs="Times New Roman" w:ascii="Times New Roman" w:hAnsi="Times New Roman"/>
          <w:sz w:val="24"/>
          <w:szCs w:val="24"/>
          <w:lang w:val="en-US"/>
        </w:rPr>
        <w:t xml:space="preserve"> </w:t>
      </w:r>
      <w:r>
        <w:rPr>
          <w:rFonts w:eastAsia="Times New Roman" w:cs="Times New Roman" w:ascii="Times New Roman" w:hAnsi="Times New Roman"/>
          <w:sz w:val="24"/>
          <w:szCs w:val="24"/>
        </w:rPr>
        <w:t>арк. в 1 прим.</w:t>
      </w:r>
    </w:p>
    <w:p>
      <w:pPr>
        <w:pStyle w:val="Normal"/>
        <w:bidi w:val="0"/>
        <w:spacing w:before="0" w:after="0"/>
        <w:jc w:val="lef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3. Додаток 3 до тендерної документації на </w:t>
      </w:r>
      <w:r>
        <w:rPr>
          <w:rFonts w:eastAsia="Times New Roman" w:cs="Times New Roman" w:ascii="Times New Roman" w:hAnsi="Times New Roman"/>
          <w:sz w:val="24"/>
          <w:szCs w:val="24"/>
          <w:u w:val="single"/>
          <w:lang w:val="en-US"/>
        </w:rPr>
        <w:t>17</w:t>
      </w:r>
      <w:r>
        <w:rPr>
          <w:rFonts w:eastAsia="Times New Roman" w:cs="Times New Roman" w:ascii="Times New Roman" w:hAnsi="Times New Roman"/>
          <w:sz w:val="24"/>
          <w:szCs w:val="24"/>
        </w:rPr>
        <w:t xml:space="preserve"> арк. в 1 прим</w:t>
      </w:r>
    </w:p>
    <w:p>
      <w:pPr>
        <w:pStyle w:val="Normal"/>
        <w:widowControl w:val="false"/>
        <w:bidi w:val="0"/>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4. Додаток 4 до тендерної документації на </w:t>
      </w:r>
      <w:r>
        <w:rPr>
          <w:rFonts w:eastAsia="Times New Roman" w:cs="Times New Roman" w:ascii="Times New Roman" w:hAnsi="Times New Roman"/>
          <w:sz w:val="24"/>
          <w:szCs w:val="24"/>
          <w:u w:val="single"/>
          <w:lang w:val="en-US"/>
        </w:rPr>
        <w:t>2</w:t>
      </w:r>
      <w:r>
        <w:rPr>
          <w:rFonts w:eastAsia="Times New Roman" w:cs="Times New Roman" w:ascii="Times New Roman" w:hAnsi="Times New Roman"/>
          <w:sz w:val="24"/>
          <w:szCs w:val="24"/>
          <w:u w:val="single"/>
        </w:rPr>
        <w:t xml:space="preserve"> </w:t>
      </w:r>
      <w:r>
        <w:rPr>
          <w:rFonts w:eastAsia="Times New Roman" w:cs="Times New Roman" w:ascii="Times New Roman" w:hAnsi="Times New Roman"/>
          <w:sz w:val="24"/>
          <w:szCs w:val="24"/>
        </w:rPr>
        <w:t>арк. в 1 прим</w:t>
      </w:r>
    </w:p>
    <w:sectPr>
      <w:footerReference w:type="default" r:id="rId6"/>
      <w:footerReference w:type="first" r:id="rId7"/>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OpenSans-Regular">
    <w:altName w:val="Arial"/>
    <w:charset w:val="cc"/>
    <w:family w:val="roman"/>
    <w:pitch w:val="variable"/>
  </w:font>
  <w:font w:name="Noto San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instrText> PAGE </w:instrText>
    </w:r>
    <w:r>
      <w:fldChar w:fldCharType="separate"/>
    </w:r>
    <w:r>
      <w:t>27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dstrike w:val="false"/>
        <w:strike w:val="false"/>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8"/>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trike w:val="false"/>
      <w:dstrike w:val="false"/>
      <w:sz w:val="24"/>
    </w:rPr>
  </w:style>
  <w:style w:type="character" w:styleId="ListLabel11">
    <w:name w:val="ListLabel 11"/>
    <w:qFormat/>
    <w:rPr>
      <w:rFonts w:ascii="Times New Roman" w:hAnsi="Times New Roman" w:eastAsia="Noto Sans" w:cs="Noto Sans"/>
      <w:color w:val="000000"/>
      <w:sz w:val="24"/>
      <w:szCs w:val="20"/>
    </w:rPr>
  </w:style>
  <w:style w:type="character" w:styleId="ListLabel12">
    <w:name w:val="ListLabel 12"/>
    <w:qFormat/>
    <w:rPr>
      <w:rFonts w:eastAsia="Courier New" w:cs="Courier New"/>
      <w:sz w:val="20"/>
      <w:szCs w:val="20"/>
    </w:rPr>
  </w:style>
  <w:style w:type="character" w:styleId="ListLabel13">
    <w:name w:val="ListLabel 13"/>
    <w:qFormat/>
    <w:rPr>
      <w:rFonts w:eastAsia="Noto Sans" w:cs="Noto Sans"/>
      <w:sz w:val="20"/>
      <w:szCs w:val="20"/>
    </w:rPr>
  </w:style>
  <w:style w:type="character" w:styleId="ListLabel14">
    <w:name w:val="ListLabel 14"/>
    <w:qFormat/>
    <w:rPr>
      <w:rFonts w:eastAsia="Noto Sans" w:cs="Noto Sans"/>
      <w:sz w:val="20"/>
      <w:szCs w:val="20"/>
    </w:rPr>
  </w:style>
  <w:style w:type="character" w:styleId="ListLabel15">
    <w:name w:val="ListLabel 15"/>
    <w:qFormat/>
    <w:rPr>
      <w:rFonts w:eastAsia="Noto Sans" w:cs="Noto Sans"/>
      <w:sz w:val="20"/>
      <w:szCs w:val="20"/>
    </w:rPr>
  </w:style>
  <w:style w:type="character" w:styleId="ListLabel16">
    <w:name w:val="ListLabel 16"/>
    <w:qFormat/>
    <w:rPr>
      <w:rFonts w:eastAsia="Noto Sans" w:cs="Noto Sans"/>
      <w:sz w:val="20"/>
      <w:szCs w:val="20"/>
    </w:rPr>
  </w:style>
  <w:style w:type="character" w:styleId="ListLabel17">
    <w:name w:val="ListLabel 17"/>
    <w:qFormat/>
    <w:rPr>
      <w:rFonts w:eastAsia="Noto Sans" w:cs="Noto Sans"/>
      <w:sz w:val="20"/>
      <w:szCs w:val="20"/>
    </w:rPr>
  </w:style>
  <w:style w:type="character" w:styleId="ListLabel18">
    <w:name w:val="ListLabel 18"/>
    <w:qFormat/>
    <w:rPr>
      <w:rFonts w:eastAsia="Noto Sans" w:cs="Noto Sans"/>
      <w:sz w:val="20"/>
      <w:szCs w:val="20"/>
    </w:rPr>
  </w:style>
  <w:style w:type="character" w:styleId="ListLabel19">
    <w:name w:val="ListLabel 19"/>
    <w:qFormat/>
    <w:rPr>
      <w:rFonts w:eastAsia="Noto Sans" w:cs="Noto Sans"/>
      <w:sz w:val="20"/>
      <w:szCs w:val="20"/>
    </w:rPr>
  </w:style>
  <w:style w:type="character" w:styleId="ListLabel20">
    <w:name w:val="ListLabel 20"/>
    <w:qFormat/>
    <w:rPr>
      <w:rFonts w:cs="Wingdings"/>
      <w:sz w:val="24"/>
      <w:u w:val="none"/>
    </w:rPr>
  </w:style>
  <w:style w:type="character" w:styleId="ListLabel21">
    <w:name w:val="ListLabel 21"/>
    <w:qFormat/>
    <w:rPr>
      <w:rFonts w:cs="Wingdings 2"/>
      <w:u w:val="none"/>
    </w:rPr>
  </w:style>
  <w:style w:type="character" w:styleId="ListLabel22">
    <w:name w:val="ListLabel 22"/>
    <w:qFormat/>
    <w:rPr>
      <w:rFonts w:cs="OpenSymbol"/>
      <w:u w:val="none"/>
    </w:rPr>
  </w:style>
  <w:style w:type="character" w:styleId="ListLabel23">
    <w:name w:val="ListLabel 23"/>
    <w:qFormat/>
    <w:rPr>
      <w:rFonts w:cs="Wingdings"/>
      <w:u w:val="none"/>
    </w:rPr>
  </w:style>
  <w:style w:type="character" w:styleId="ListLabel24">
    <w:name w:val="ListLabel 24"/>
    <w:qFormat/>
    <w:rPr>
      <w:rFonts w:cs="Wingdings 2"/>
      <w:u w:val="none"/>
    </w:rPr>
  </w:style>
  <w:style w:type="character" w:styleId="ListLabel25">
    <w:name w:val="ListLabel 25"/>
    <w:qFormat/>
    <w:rPr>
      <w:rFonts w:cs="OpenSymbol"/>
      <w:u w:val="none"/>
    </w:rPr>
  </w:style>
  <w:style w:type="character" w:styleId="ListLabel26">
    <w:name w:val="ListLabel 26"/>
    <w:qFormat/>
    <w:rPr>
      <w:rFonts w:cs="Wingdings"/>
      <w:u w:val="none"/>
    </w:rPr>
  </w:style>
  <w:style w:type="character" w:styleId="ListLabel27">
    <w:name w:val="ListLabel 27"/>
    <w:qFormat/>
    <w:rPr>
      <w:rFonts w:cs="Wingdings 2"/>
      <w:u w:val="none"/>
    </w:rPr>
  </w:style>
  <w:style w:type="character" w:styleId="ListLabel28">
    <w:name w:val="ListLabel 28"/>
    <w:qFormat/>
    <w:rPr>
      <w:rFonts w:cs="OpenSymbol"/>
      <w:u w:val="none"/>
    </w:rPr>
  </w:style>
  <w:style w:type="character" w:styleId="ListLabel29">
    <w:name w:val="ListLabel 29"/>
    <w:qFormat/>
    <w:rPr>
      <w:strike w:val="false"/>
      <w:dstrike w:val="false"/>
      <w:sz w:val="24"/>
    </w:rPr>
  </w:style>
  <w:style w:type="character" w:styleId="ListLabel30">
    <w:name w:val="ListLabel 30"/>
    <w:qFormat/>
    <w:rPr>
      <w:rFonts w:cs="Noto Sans"/>
      <w:color w:val="000000"/>
      <w:sz w:val="24"/>
      <w:szCs w:val="20"/>
    </w:rPr>
  </w:style>
  <w:style w:type="character" w:styleId="ListLabel31">
    <w:name w:val="ListLabel 31"/>
    <w:qFormat/>
    <w:rPr>
      <w:rFonts w:cs="Courier New"/>
      <w:sz w:val="20"/>
      <w:szCs w:val="20"/>
    </w:rPr>
  </w:style>
  <w:style w:type="character" w:styleId="ListLabel32">
    <w:name w:val="ListLabel 32"/>
    <w:qFormat/>
    <w:rPr>
      <w:rFonts w:cs="Noto Sans"/>
      <w:sz w:val="20"/>
      <w:szCs w:val="20"/>
    </w:rPr>
  </w:style>
  <w:style w:type="character" w:styleId="ListLabel33">
    <w:name w:val="ListLabel 33"/>
    <w:qFormat/>
    <w:rPr>
      <w:rFonts w:cs="Noto Sans"/>
      <w:sz w:val="20"/>
      <w:szCs w:val="20"/>
    </w:rPr>
  </w:style>
  <w:style w:type="character" w:styleId="ListLabel34">
    <w:name w:val="ListLabel 34"/>
    <w:qFormat/>
    <w:rPr>
      <w:rFonts w:cs="Noto Sans"/>
      <w:sz w:val="20"/>
      <w:szCs w:val="20"/>
    </w:rPr>
  </w:style>
  <w:style w:type="character" w:styleId="ListLabel35">
    <w:name w:val="ListLabel 35"/>
    <w:qFormat/>
    <w:rPr>
      <w:rFonts w:cs="Noto Sans"/>
      <w:sz w:val="20"/>
      <w:szCs w:val="20"/>
    </w:rPr>
  </w:style>
  <w:style w:type="character" w:styleId="ListLabel36">
    <w:name w:val="ListLabel 36"/>
    <w:qFormat/>
    <w:rPr>
      <w:rFonts w:cs="Noto Sans"/>
      <w:sz w:val="20"/>
      <w:szCs w:val="20"/>
    </w:rPr>
  </w:style>
  <w:style w:type="character" w:styleId="ListLabel37">
    <w:name w:val="ListLabel 37"/>
    <w:qFormat/>
    <w:rPr>
      <w:rFonts w:cs="Noto Sans"/>
      <w:sz w:val="20"/>
      <w:szCs w:val="20"/>
    </w:rPr>
  </w:style>
  <w:style w:type="character" w:styleId="ListLabel38">
    <w:name w:val="ListLabel 38"/>
    <w:qFormat/>
    <w:rPr>
      <w:rFonts w:cs="Noto Sans"/>
      <w:sz w:val="20"/>
      <w:szCs w:val="20"/>
    </w:rPr>
  </w:style>
  <w:style w:type="character" w:styleId="ListLabel39">
    <w:name w:val="ListLabel 39"/>
    <w:qFormat/>
    <w:rPr>
      <w:rFonts w:cs="Wingdings"/>
      <w:sz w:val="24"/>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Wingdings"/>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strike w:val="false"/>
      <w:dstrike w:val="false"/>
      <w:sz w:val="24"/>
    </w:rPr>
  </w:style>
  <w:style w:type="character" w:styleId="ListLabel49">
    <w:name w:val="ListLabel 49"/>
    <w:qFormat/>
    <w:rPr>
      <w:rFonts w:cs="Noto Sans"/>
      <w:color w:val="000000"/>
      <w:sz w:val="24"/>
      <w:szCs w:val="20"/>
    </w:rPr>
  </w:style>
  <w:style w:type="character" w:styleId="ListLabel50">
    <w:name w:val="ListLabel 50"/>
    <w:qFormat/>
    <w:rPr>
      <w:rFonts w:cs="Courier New"/>
      <w:sz w:val="20"/>
      <w:szCs w:val="20"/>
    </w:rPr>
  </w:style>
  <w:style w:type="character" w:styleId="ListLabel51">
    <w:name w:val="ListLabel 51"/>
    <w:qFormat/>
    <w:rPr>
      <w:rFonts w:cs="Noto Sans"/>
      <w:sz w:val="20"/>
      <w:szCs w:val="20"/>
    </w:rPr>
  </w:style>
  <w:style w:type="character" w:styleId="ListLabel52">
    <w:name w:val="ListLabel 52"/>
    <w:qFormat/>
    <w:rPr>
      <w:rFonts w:cs="Noto Sans"/>
      <w:sz w:val="20"/>
      <w:szCs w:val="20"/>
    </w:rPr>
  </w:style>
  <w:style w:type="character" w:styleId="ListLabel53">
    <w:name w:val="ListLabel 53"/>
    <w:qFormat/>
    <w:rPr>
      <w:rFonts w:cs="Noto Sans"/>
      <w:sz w:val="20"/>
      <w:szCs w:val="20"/>
    </w:rPr>
  </w:style>
  <w:style w:type="character" w:styleId="ListLabel54">
    <w:name w:val="ListLabel 54"/>
    <w:qFormat/>
    <w:rPr>
      <w:rFonts w:cs="Noto Sans"/>
      <w:sz w:val="20"/>
      <w:szCs w:val="20"/>
    </w:rPr>
  </w:style>
  <w:style w:type="character" w:styleId="ListLabel55">
    <w:name w:val="ListLabel 55"/>
    <w:qFormat/>
    <w:rPr>
      <w:rFonts w:cs="Noto Sans"/>
      <w:sz w:val="20"/>
      <w:szCs w:val="20"/>
    </w:rPr>
  </w:style>
  <w:style w:type="character" w:styleId="ListLabel56">
    <w:name w:val="ListLabel 56"/>
    <w:qFormat/>
    <w:rPr>
      <w:rFonts w:cs="Noto Sans"/>
      <w:sz w:val="20"/>
      <w:szCs w:val="20"/>
    </w:rPr>
  </w:style>
  <w:style w:type="character" w:styleId="ListLabel57">
    <w:name w:val="ListLabel 57"/>
    <w:qFormat/>
    <w:rPr>
      <w:rFonts w:cs="Noto Sans"/>
      <w:sz w:val="20"/>
      <w:szCs w:val="20"/>
    </w:rPr>
  </w:style>
  <w:style w:type="character" w:styleId="ListLabel58">
    <w:name w:val="ListLabel 58"/>
    <w:qFormat/>
    <w:rPr>
      <w:rFonts w:cs="Wingdings"/>
      <w:sz w:val="24"/>
      <w:u w:val="none"/>
    </w:rPr>
  </w:style>
  <w:style w:type="character" w:styleId="ListLabel59">
    <w:name w:val="ListLabel 59"/>
    <w:qFormat/>
    <w:rPr>
      <w:rFonts w:cs="Wingdings 2"/>
      <w:u w:val="none"/>
    </w:rPr>
  </w:style>
  <w:style w:type="character" w:styleId="ListLabel60">
    <w:name w:val="ListLabel 60"/>
    <w:qFormat/>
    <w:rPr>
      <w:rFonts w:cs="OpenSymbol"/>
      <w:u w:val="none"/>
    </w:rPr>
  </w:style>
  <w:style w:type="character" w:styleId="ListLabel61">
    <w:name w:val="ListLabel 61"/>
    <w:qFormat/>
    <w:rPr>
      <w:rFonts w:cs="Wingdings"/>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cs="Wingdings"/>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strike w:val="false"/>
      <w:dstrike w:val="false"/>
      <w:sz w:val="24"/>
    </w:rPr>
  </w:style>
  <w:style w:type="character" w:styleId="ListLabel68">
    <w:name w:val="ListLabel 68"/>
    <w:qFormat/>
    <w:rPr>
      <w:rFonts w:cs="Noto Sans"/>
      <w:color w:val="000000"/>
      <w:sz w:val="24"/>
      <w:szCs w:val="20"/>
    </w:rPr>
  </w:style>
  <w:style w:type="character" w:styleId="ListLabel69">
    <w:name w:val="ListLabel 69"/>
    <w:qFormat/>
    <w:rPr>
      <w:rFonts w:cs="Courier New"/>
      <w:sz w:val="20"/>
      <w:szCs w:val="20"/>
    </w:rPr>
  </w:style>
  <w:style w:type="character" w:styleId="ListLabel70">
    <w:name w:val="ListLabel 70"/>
    <w:qFormat/>
    <w:rPr>
      <w:rFonts w:cs="Noto Sans"/>
      <w:sz w:val="20"/>
      <w:szCs w:val="20"/>
    </w:rPr>
  </w:style>
  <w:style w:type="character" w:styleId="ListLabel71">
    <w:name w:val="ListLabel 71"/>
    <w:qFormat/>
    <w:rPr>
      <w:rFonts w:cs="Noto Sans"/>
      <w:sz w:val="20"/>
      <w:szCs w:val="20"/>
    </w:rPr>
  </w:style>
  <w:style w:type="character" w:styleId="ListLabel72">
    <w:name w:val="ListLabel 72"/>
    <w:qFormat/>
    <w:rPr>
      <w:rFonts w:cs="Noto Sans"/>
      <w:sz w:val="20"/>
      <w:szCs w:val="20"/>
    </w:rPr>
  </w:style>
  <w:style w:type="character" w:styleId="ListLabel73">
    <w:name w:val="ListLabel 73"/>
    <w:qFormat/>
    <w:rPr>
      <w:rFonts w:cs="Noto Sans"/>
      <w:sz w:val="20"/>
      <w:szCs w:val="20"/>
    </w:rPr>
  </w:style>
  <w:style w:type="character" w:styleId="ListLabel74">
    <w:name w:val="ListLabel 74"/>
    <w:qFormat/>
    <w:rPr>
      <w:rFonts w:cs="Noto Sans"/>
      <w:sz w:val="20"/>
      <w:szCs w:val="20"/>
    </w:rPr>
  </w:style>
  <w:style w:type="character" w:styleId="ListLabel75">
    <w:name w:val="ListLabel 75"/>
    <w:qFormat/>
    <w:rPr>
      <w:rFonts w:cs="Noto Sans"/>
      <w:sz w:val="20"/>
      <w:szCs w:val="20"/>
    </w:rPr>
  </w:style>
  <w:style w:type="character" w:styleId="ListLabel76">
    <w:name w:val="ListLabel 76"/>
    <w:qFormat/>
    <w:rPr>
      <w:rFonts w:cs="Noto Sans"/>
      <w:sz w:val="20"/>
      <w:szCs w:val="20"/>
    </w:rPr>
  </w:style>
  <w:style w:type="character" w:styleId="ListLabel77">
    <w:name w:val="ListLabel 77"/>
    <w:qFormat/>
    <w:rPr>
      <w:rFonts w:cs="Wingdings"/>
      <w:sz w:val="24"/>
      <w:u w:val="none"/>
    </w:rPr>
  </w:style>
  <w:style w:type="character" w:styleId="ListLabel78">
    <w:name w:val="ListLabel 78"/>
    <w:qFormat/>
    <w:rPr>
      <w:rFonts w:cs="Wingdings 2"/>
      <w:u w:val="none"/>
    </w:rPr>
  </w:style>
  <w:style w:type="character" w:styleId="ListLabel79">
    <w:name w:val="ListLabel 79"/>
    <w:qFormat/>
    <w:rPr>
      <w:rFonts w:cs="OpenSymbol"/>
      <w:u w:val="none"/>
    </w:rPr>
  </w:style>
  <w:style w:type="character" w:styleId="ListLabel80">
    <w:name w:val="ListLabel 80"/>
    <w:qFormat/>
    <w:rPr>
      <w:rFonts w:cs="Wingdings"/>
      <w:u w:val="none"/>
    </w:rPr>
  </w:style>
  <w:style w:type="character" w:styleId="ListLabel81">
    <w:name w:val="ListLabel 81"/>
    <w:qFormat/>
    <w:rPr>
      <w:rFonts w:cs="Wingdings 2"/>
      <w:u w:val="none"/>
    </w:rPr>
  </w:style>
  <w:style w:type="character" w:styleId="ListLabel82">
    <w:name w:val="ListLabel 82"/>
    <w:qFormat/>
    <w:rPr>
      <w:rFonts w:cs="OpenSymbol"/>
      <w:u w:val="none"/>
    </w:rPr>
  </w:style>
  <w:style w:type="character" w:styleId="ListLabel83">
    <w:name w:val="ListLabel 83"/>
    <w:qFormat/>
    <w:rPr>
      <w:rFonts w:cs="Wingdings"/>
      <w:u w:val="none"/>
    </w:rPr>
  </w:style>
  <w:style w:type="character" w:styleId="ListLabel84">
    <w:name w:val="ListLabel 84"/>
    <w:qFormat/>
    <w:rPr>
      <w:rFonts w:cs="Wingdings 2"/>
      <w:u w:val="none"/>
    </w:rPr>
  </w:style>
  <w:style w:type="character" w:styleId="ListLabel85">
    <w:name w:val="ListLabel 85"/>
    <w:qFormat/>
    <w:rPr>
      <w:rFonts w:cs="OpenSymbol"/>
      <w:u w:val="none"/>
    </w:rPr>
  </w:style>
  <w:style w:type="character" w:styleId="ListLabel86">
    <w:name w:val="ListLabel 86"/>
    <w:qFormat/>
    <w:rPr>
      <w:strike w:val="false"/>
      <w:dstrike w:val="false"/>
      <w:sz w:val="24"/>
    </w:rPr>
  </w:style>
  <w:style w:type="character" w:styleId="ListLabel87">
    <w:name w:val="ListLabel 87"/>
    <w:qFormat/>
    <w:rPr>
      <w:rFonts w:cs="Noto Sans"/>
      <w:color w:val="000000"/>
      <w:sz w:val="24"/>
      <w:szCs w:val="20"/>
    </w:rPr>
  </w:style>
  <w:style w:type="character" w:styleId="ListLabel88">
    <w:name w:val="ListLabel 88"/>
    <w:qFormat/>
    <w:rPr>
      <w:rFonts w:cs="Courier New"/>
      <w:sz w:val="20"/>
      <w:szCs w:val="20"/>
    </w:rPr>
  </w:style>
  <w:style w:type="character" w:styleId="ListLabel89">
    <w:name w:val="ListLabel 89"/>
    <w:qFormat/>
    <w:rPr>
      <w:rFonts w:cs="Noto Sans"/>
      <w:sz w:val="20"/>
      <w:szCs w:val="20"/>
    </w:rPr>
  </w:style>
  <w:style w:type="character" w:styleId="ListLabel90">
    <w:name w:val="ListLabel 90"/>
    <w:qFormat/>
    <w:rPr>
      <w:rFonts w:cs="Noto Sans"/>
      <w:sz w:val="20"/>
      <w:szCs w:val="20"/>
    </w:rPr>
  </w:style>
  <w:style w:type="character" w:styleId="ListLabel91">
    <w:name w:val="ListLabel 91"/>
    <w:qFormat/>
    <w:rPr>
      <w:rFonts w:cs="Noto Sans"/>
      <w:sz w:val="20"/>
      <w:szCs w:val="20"/>
    </w:rPr>
  </w:style>
  <w:style w:type="character" w:styleId="ListLabel92">
    <w:name w:val="ListLabel 92"/>
    <w:qFormat/>
    <w:rPr>
      <w:rFonts w:cs="Noto Sans"/>
      <w:sz w:val="20"/>
      <w:szCs w:val="20"/>
    </w:rPr>
  </w:style>
  <w:style w:type="character" w:styleId="ListLabel93">
    <w:name w:val="ListLabel 93"/>
    <w:qFormat/>
    <w:rPr>
      <w:rFonts w:cs="Noto Sans"/>
      <w:sz w:val="20"/>
      <w:szCs w:val="20"/>
    </w:rPr>
  </w:style>
  <w:style w:type="character" w:styleId="ListLabel94">
    <w:name w:val="ListLabel 94"/>
    <w:qFormat/>
    <w:rPr>
      <w:rFonts w:cs="Noto Sans"/>
      <w:sz w:val="20"/>
      <w:szCs w:val="20"/>
    </w:rPr>
  </w:style>
  <w:style w:type="character" w:styleId="ListLabel95">
    <w:name w:val="ListLabel 95"/>
    <w:qFormat/>
    <w:rPr>
      <w:rFonts w:cs="Noto Sans"/>
      <w:sz w:val="20"/>
      <w:szCs w:val="20"/>
    </w:rPr>
  </w:style>
  <w:style w:type="character" w:styleId="Spanrvts0">
    <w:name w:val="span_rvts0"/>
    <w:basedOn w:val="DefaultParagraphFont"/>
    <w:qFormat/>
    <w:rPr>
      <w:rFonts w:ascii="Times New Roman" w:hAnsi="Times New Roman" w:eastAsia="Times New Roman" w:cs="Times New Roman"/>
      <w:b w:val="false"/>
      <w:bCs w:val="false"/>
      <w:i w:val="false"/>
      <w:iCs w:val="false"/>
      <w:sz w:val="24"/>
      <w:szCs w:val="24"/>
    </w:rPr>
  </w:style>
  <w:style w:type="character" w:styleId="Arvts99">
    <w:name w:val="a_rvts99"/>
    <w:basedOn w:val="DefaultParagraphFont"/>
    <w:qFormat/>
    <w:rPr>
      <w:rFonts w:ascii="Times New Roman" w:hAnsi="Times New Roman" w:eastAsia="Times New Roman" w:cs="Times New Roman"/>
      <w:b w:val="false"/>
      <w:bCs w:val="false"/>
      <w:i w:val="false"/>
      <w:iCs w:val="false"/>
      <w:color w:val="006600"/>
      <w:sz w:val="24"/>
      <w:szCs w:val="24"/>
    </w:rPr>
  </w:style>
  <w:style w:type="character" w:styleId="ListLabel96">
    <w:name w:val="ListLabel 96"/>
    <w:qFormat/>
    <w:rPr>
      <w:strike w:val="false"/>
      <w:dstrike w:val="false"/>
      <w:sz w:val="24"/>
    </w:rPr>
  </w:style>
  <w:style w:type="character" w:styleId="ListLabel97">
    <w:name w:val="ListLabel 97"/>
    <w:qFormat/>
    <w:rPr>
      <w:rFonts w:cs="Noto Sans"/>
      <w:color w:val="000000"/>
      <w:sz w:val="24"/>
      <w:szCs w:val="20"/>
    </w:rPr>
  </w:style>
  <w:style w:type="character" w:styleId="ListLabel98">
    <w:name w:val="ListLabel 98"/>
    <w:qFormat/>
    <w:rPr>
      <w:rFonts w:cs="Courier New"/>
      <w:sz w:val="20"/>
      <w:szCs w:val="20"/>
    </w:rPr>
  </w:style>
  <w:style w:type="character" w:styleId="ListLabel99">
    <w:name w:val="ListLabel 99"/>
    <w:qFormat/>
    <w:rPr>
      <w:rFonts w:cs="Noto Sans"/>
      <w:sz w:val="20"/>
      <w:szCs w:val="20"/>
    </w:rPr>
  </w:style>
  <w:style w:type="character" w:styleId="ListLabel100">
    <w:name w:val="ListLabel 100"/>
    <w:qFormat/>
    <w:rPr>
      <w:rFonts w:cs="Noto Sans"/>
      <w:sz w:val="20"/>
      <w:szCs w:val="20"/>
    </w:rPr>
  </w:style>
  <w:style w:type="character" w:styleId="ListLabel101">
    <w:name w:val="ListLabel 101"/>
    <w:qFormat/>
    <w:rPr>
      <w:rFonts w:cs="Noto Sans"/>
      <w:sz w:val="20"/>
      <w:szCs w:val="20"/>
    </w:rPr>
  </w:style>
  <w:style w:type="character" w:styleId="ListLabel102">
    <w:name w:val="ListLabel 102"/>
    <w:qFormat/>
    <w:rPr>
      <w:rFonts w:cs="Noto Sans"/>
      <w:sz w:val="20"/>
      <w:szCs w:val="20"/>
    </w:rPr>
  </w:style>
  <w:style w:type="character" w:styleId="ListLabel103">
    <w:name w:val="ListLabel 103"/>
    <w:qFormat/>
    <w:rPr>
      <w:rFonts w:cs="Noto Sans"/>
      <w:sz w:val="20"/>
      <w:szCs w:val="20"/>
    </w:rPr>
  </w:style>
  <w:style w:type="character" w:styleId="ListLabel104">
    <w:name w:val="ListLabel 104"/>
    <w:qFormat/>
    <w:rPr>
      <w:rFonts w:cs="Noto Sans"/>
      <w:sz w:val="20"/>
      <w:szCs w:val="20"/>
    </w:rPr>
  </w:style>
  <w:style w:type="character" w:styleId="ListLabel105">
    <w:name w:val="ListLabel 105"/>
    <w:qFormat/>
    <w:rPr>
      <w:rFonts w:cs="Noto Sans"/>
      <w:sz w:val="20"/>
      <w:szCs w:val="20"/>
    </w:rPr>
  </w:style>
  <w:style w:type="character" w:styleId="ListLabel106">
    <w:name w:val="ListLabel 106"/>
    <w:qFormat/>
    <w:rPr>
      <w:strike w:val="false"/>
      <w:dstrike w:val="false"/>
      <w:sz w:val="24"/>
    </w:rPr>
  </w:style>
  <w:style w:type="character" w:styleId="ListLabel107">
    <w:name w:val="ListLabel 107"/>
    <w:qFormat/>
    <w:rPr>
      <w:rFonts w:cs="Noto Sans"/>
      <w:color w:val="000000"/>
      <w:sz w:val="24"/>
      <w:szCs w:val="20"/>
    </w:rPr>
  </w:style>
  <w:style w:type="character" w:styleId="ListLabel108">
    <w:name w:val="ListLabel 108"/>
    <w:qFormat/>
    <w:rPr>
      <w:rFonts w:cs="Courier New"/>
      <w:sz w:val="20"/>
      <w:szCs w:val="20"/>
    </w:rPr>
  </w:style>
  <w:style w:type="character" w:styleId="ListLabel109">
    <w:name w:val="ListLabel 109"/>
    <w:qFormat/>
    <w:rPr>
      <w:rFonts w:cs="Noto Sans"/>
      <w:sz w:val="20"/>
      <w:szCs w:val="20"/>
    </w:rPr>
  </w:style>
  <w:style w:type="character" w:styleId="ListLabel110">
    <w:name w:val="ListLabel 110"/>
    <w:qFormat/>
    <w:rPr>
      <w:rFonts w:cs="Noto Sans"/>
      <w:sz w:val="20"/>
      <w:szCs w:val="20"/>
    </w:rPr>
  </w:style>
  <w:style w:type="character" w:styleId="ListLabel111">
    <w:name w:val="ListLabel 111"/>
    <w:qFormat/>
    <w:rPr>
      <w:rFonts w:cs="Noto Sans"/>
      <w:sz w:val="20"/>
      <w:szCs w:val="20"/>
    </w:rPr>
  </w:style>
  <w:style w:type="character" w:styleId="ListLabel112">
    <w:name w:val="ListLabel 112"/>
    <w:qFormat/>
    <w:rPr>
      <w:rFonts w:cs="Noto Sans"/>
      <w:sz w:val="20"/>
      <w:szCs w:val="20"/>
    </w:rPr>
  </w:style>
  <w:style w:type="character" w:styleId="ListLabel113">
    <w:name w:val="ListLabel 113"/>
    <w:qFormat/>
    <w:rPr>
      <w:rFonts w:cs="Noto Sans"/>
      <w:sz w:val="20"/>
      <w:szCs w:val="20"/>
    </w:rPr>
  </w:style>
  <w:style w:type="character" w:styleId="ListLabel114">
    <w:name w:val="ListLabel 114"/>
    <w:qFormat/>
    <w:rPr>
      <w:rFonts w:cs="Noto Sans"/>
      <w:sz w:val="20"/>
      <w:szCs w:val="20"/>
    </w:rPr>
  </w:style>
  <w:style w:type="character" w:styleId="ListLabel115">
    <w:name w:val="ListLabel 115"/>
    <w:qFormat/>
    <w:rPr>
      <w:rFonts w:cs="Noto Sans"/>
      <w:sz w:val="20"/>
      <w:szCs w:val="20"/>
    </w:rPr>
  </w:style>
  <w:style w:type="character" w:styleId="Style10">
    <w:name w:val="Основной шрифт абзаца"/>
    <w:qFormat/>
    <w:rPr/>
  </w:style>
  <w:style w:type="character" w:styleId="Rvts0">
    <w:name w:val="rvts0"/>
    <w:basedOn w:val="Style10"/>
    <w:qFormat/>
    <w:rPr/>
  </w:style>
  <w:style w:type="character" w:styleId="ListLabel116">
    <w:name w:val="ListLabel 116"/>
    <w:qFormat/>
    <w:rPr>
      <w:strike w:val="false"/>
      <w:dstrike w:val="false"/>
      <w:sz w:val="24"/>
    </w:rPr>
  </w:style>
  <w:style w:type="character" w:styleId="ListLabel117">
    <w:name w:val="ListLabel 117"/>
    <w:qFormat/>
    <w:rPr>
      <w:rFonts w:cs="Noto Sans"/>
      <w:color w:val="000000"/>
      <w:sz w:val="24"/>
      <w:szCs w:val="20"/>
    </w:rPr>
  </w:style>
  <w:style w:type="character" w:styleId="ListLabel118">
    <w:name w:val="ListLabel 118"/>
    <w:qFormat/>
    <w:rPr>
      <w:rFonts w:cs="Courier New"/>
      <w:sz w:val="20"/>
      <w:szCs w:val="20"/>
    </w:rPr>
  </w:style>
  <w:style w:type="character" w:styleId="ListLabel119">
    <w:name w:val="ListLabel 119"/>
    <w:qFormat/>
    <w:rPr>
      <w:rFonts w:cs="Noto Sans"/>
      <w:sz w:val="20"/>
      <w:szCs w:val="20"/>
    </w:rPr>
  </w:style>
  <w:style w:type="character" w:styleId="ListLabel120">
    <w:name w:val="ListLabel 120"/>
    <w:qFormat/>
    <w:rPr>
      <w:rFonts w:cs="Noto Sans"/>
      <w:sz w:val="20"/>
      <w:szCs w:val="20"/>
    </w:rPr>
  </w:style>
  <w:style w:type="character" w:styleId="ListLabel121">
    <w:name w:val="ListLabel 121"/>
    <w:qFormat/>
    <w:rPr>
      <w:rFonts w:cs="Noto Sans"/>
      <w:sz w:val="20"/>
      <w:szCs w:val="20"/>
    </w:rPr>
  </w:style>
  <w:style w:type="character" w:styleId="ListLabel122">
    <w:name w:val="ListLabel 122"/>
    <w:qFormat/>
    <w:rPr>
      <w:rFonts w:cs="Noto Sans"/>
      <w:sz w:val="20"/>
      <w:szCs w:val="20"/>
    </w:rPr>
  </w:style>
  <w:style w:type="character" w:styleId="ListLabel123">
    <w:name w:val="ListLabel 123"/>
    <w:qFormat/>
    <w:rPr>
      <w:rFonts w:cs="Noto Sans"/>
      <w:sz w:val="20"/>
      <w:szCs w:val="20"/>
    </w:rPr>
  </w:style>
  <w:style w:type="character" w:styleId="ListLabel124">
    <w:name w:val="ListLabel 124"/>
    <w:qFormat/>
    <w:rPr>
      <w:rFonts w:cs="Noto Sans"/>
      <w:sz w:val="20"/>
      <w:szCs w:val="20"/>
    </w:rPr>
  </w:style>
  <w:style w:type="character" w:styleId="ListLabel125">
    <w:name w:val="ListLabel 125"/>
    <w:qFormat/>
    <w:rPr>
      <w:rFonts w:cs="Noto Sans"/>
      <w:sz w:val="20"/>
      <w:szCs w:val="20"/>
    </w:rPr>
  </w:style>
  <w:style w:type="character" w:styleId="ListLabel126">
    <w:name w:val="ListLabel 126"/>
    <w:qFormat/>
    <w:rPr>
      <w:strike w:val="false"/>
      <w:dstrike w:val="false"/>
      <w:sz w:val="24"/>
    </w:rPr>
  </w:style>
  <w:style w:type="character" w:styleId="ListLabel127">
    <w:name w:val="ListLabel 127"/>
    <w:qFormat/>
    <w:rPr>
      <w:rFonts w:cs="Noto Sans"/>
      <w:color w:val="000000"/>
      <w:sz w:val="24"/>
      <w:szCs w:val="20"/>
    </w:rPr>
  </w:style>
  <w:style w:type="character" w:styleId="ListLabel128">
    <w:name w:val="ListLabel 128"/>
    <w:qFormat/>
    <w:rPr>
      <w:rFonts w:cs="Courier New"/>
      <w:sz w:val="20"/>
      <w:szCs w:val="20"/>
    </w:rPr>
  </w:style>
  <w:style w:type="character" w:styleId="ListLabel129">
    <w:name w:val="ListLabel 129"/>
    <w:qFormat/>
    <w:rPr>
      <w:rFonts w:cs="Noto Sans"/>
      <w:sz w:val="20"/>
      <w:szCs w:val="20"/>
    </w:rPr>
  </w:style>
  <w:style w:type="character" w:styleId="ListLabel130">
    <w:name w:val="ListLabel 130"/>
    <w:qFormat/>
    <w:rPr>
      <w:rFonts w:cs="Noto Sans"/>
      <w:sz w:val="20"/>
      <w:szCs w:val="20"/>
    </w:rPr>
  </w:style>
  <w:style w:type="character" w:styleId="ListLabel131">
    <w:name w:val="ListLabel 131"/>
    <w:qFormat/>
    <w:rPr>
      <w:rFonts w:cs="Noto Sans"/>
      <w:sz w:val="20"/>
      <w:szCs w:val="20"/>
    </w:rPr>
  </w:style>
  <w:style w:type="character" w:styleId="ListLabel132">
    <w:name w:val="ListLabel 132"/>
    <w:qFormat/>
    <w:rPr>
      <w:rFonts w:cs="Noto Sans"/>
      <w:sz w:val="20"/>
      <w:szCs w:val="20"/>
    </w:rPr>
  </w:style>
  <w:style w:type="character" w:styleId="ListLabel133">
    <w:name w:val="ListLabel 133"/>
    <w:qFormat/>
    <w:rPr>
      <w:rFonts w:cs="Noto Sans"/>
      <w:sz w:val="20"/>
      <w:szCs w:val="20"/>
    </w:rPr>
  </w:style>
  <w:style w:type="character" w:styleId="ListLabel134">
    <w:name w:val="ListLabel 134"/>
    <w:qFormat/>
    <w:rPr>
      <w:rFonts w:cs="Noto Sans"/>
      <w:sz w:val="20"/>
      <w:szCs w:val="20"/>
    </w:rPr>
  </w:style>
  <w:style w:type="character" w:styleId="ListLabel135">
    <w:name w:val="ListLabel 135"/>
    <w:qFormat/>
    <w:rPr>
      <w:rFonts w:cs="Noto Sans"/>
      <w:sz w:val="20"/>
      <w:szCs w:val="20"/>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6">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LOnormal"/>
    <w:next w:val="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8">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cv.treasury.gov.ua" TargetMode="External"/><Relationship Id="rId3" Type="http://schemas.openxmlformats.org/officeDocument/2006/relationships/hyperlink" Target="mailto:office@cv.treasury.gov.ua"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246</TotalTime>
  <Application>LibreOffice/5.4.4.2$Windows_x86 LibreOffice_project/2524958677847fb3bb44820e40380acbe820f960</Application>
  <Pages>27</Pages>
  <Words>6966</Words>
  <Characters>47829</Characters>
  <CharactersWithSpaces>54931</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2024-01-23T16:17:18Z</dcterms:modified>
  <cp:revision>26</cp:revision>
  <dc:subject/>
  <dc:title/>
</cp:coreProperties>
</file>