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E" w:rsidRPr="00567B61" w:rsidRDefault="00C13FCE" w:rsidP="00C13FCE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FCE" w:rsidRPr="0006373D" w:rsidRDefault="002A78AF" w:rsidP="002A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670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3FCE" w:rsidRPr="0006373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670B5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67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5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C13FCE" w:rsidRDefault="00C13FCE" w:rsidP="00C13FCE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CE" w:rsidRDefault="00C13FCE" w:rsidP="00133F7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79">
        <w:rPr>
          <w:rFonts w:ascii="Times New Roman" w:hAnsi="Times New Roman" w:cs="Times New Roman"/>
          <w:b/>
          <w:bCs/>
          <w:sz w:val="20"/>
          <w:szCs w:val="20"/>
        </w:rPr>
        <w:t xml:space="preserve">ІНФОРМАЦІЯ ПРО НЕОБХІДНІ </w:t>
      </w:r>
      <w:proofErr w:type="gramStart"/>
      <w:r w:rsidRPr="00133F79">
        <w:rPr>
          <w:rFonts w:ascii="Times New Roman" w:hAnsi="Times New Roman" w:cs="Times New Roman"/>
          <w:b/>
          <w:bCs/>
          <w:sz w:val="20"/>
          <w:szCs w:val="20"/>
        </w:rPr>
        <w:t>ТЕХНІЧНІ,  Я</w:t>
      </w:r>
      <w:r w:rsidR="00CD6B66">
        <w:rPr>
          <w:rFonts w:ascii="Times New Roman" w:hAnsi="Times New Roman" w:cs="Times New Roman"/>
          <w:b/>
          <w:bCs/>
          <w:sz w:val="20"/>
          <w:szCs w:val="20"/>
          <w:lang w:val="uk-UA"/>
        </w:rPr>
        <w:t>К</w:t>
      </w:r>
      <w:r w:rsidRPr="00133F79">
        <w:rPr>
          <w:rFonts w:ascii="Times New Roman" w:hAnsi="Times New Roman" w:cs="Times New Roman"/>
          <w:b/>
          <w:bCs/>
          <w:sz w:val="20"/>
          <w:szCs w:val="20"/>
        </w:rPr>
        <w:t>ІСНІ</w:t>
      </w:r>
      <w:proofErr w:type="gramEnd"/>
      <w:r w:rsidRPr="00133F79">
        <w:rPr>
          <w:rFonts w:ascii="Times New Roman" w:hAnsi="Times New Roman" w:cs="Times New Roman"/>
          <w:b/>
          <w:bCs/>
          <w:sz w:val="20"/>
          <w:szCs w:val="20"/>
        </w:rPr>
        <w:t>,  ТА КІЛЬКІСНІ ХАРАКТЕРИСТИКИ  ПРЕДМЕТА  ЗАКУПІВЛІ</w:t>
      </w:r>
    </w:p>
    <w:p w:rsidR="00B23886" w:rsidRPr="00133F79" w:rsidRDefault="00B23886" w:rsidP="00133F7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b/>
          <w:lang w:val="uk-UA"/>
        </w:rPr>
        <w:t>Код ДК 021:2015: 03140000-4 — « Продукція тваринництва»</w:t>
      </w:r>
    </w:p>
    <w:p w:rsidR="00C13FCE" w:rsidRPr="00C13FCE" w:rsidRDefault="00C13FCE" w:rsidP="00C13F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="00CD6B6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670B5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року.</w:t>
      </w:r>
    </w:p>
    <w:p w:rsidR="00133F79" w:rsidRDefault="00C13FCE" w:rsidP="00133F79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93F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proofErr w:type="gram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2</w:t>
      </w:r>
      <w:proofErr w:type="gramEnd"/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( два ) </w:t>
      </w:r>
      <w:r w:rsidR="00723A3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раз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и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місяць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адр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есою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с. </w:t>
      </w:r>
      <w:proofErr w:type="spellStart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Плужне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,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вул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Соборна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0B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660327" w:rsidRPr="00133F79" w:rsidRDefault="00C13FCE" w:rsidP="00133F79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– </w:t>
      </w:r>
      <w:r w:rsidR="00660327">
        <w:rPr>
          <w:rFonts w:ascii="Times New Roman" w:eastAsia="Times New Roman" w:hAnsi="Times New Roman" w:cs="Times New Roman"/>
          <w:sz w:val="28"/>
          <w:szCs w:val="28"/>
          <w:lang w:val="uk-UA"/>
        </w:rPr>
        <w:t>Яйця   курячі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proofErr w:type="gramStart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>шт</w:t>
      </w:r>
      <w:proofErr w:type="spellEnd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38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Мед натуральний – 1</w:t>
      </w:r>
      <w:r w:rsidR="00660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кг </w:t>
      </w:r>
    </w:p>
    <w:p w:rsidR="00670B5C" w:rsidRPr="000A76FC" w:rsidRDefault="00670B5C" w:rsidP="00670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33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5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ранспортом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D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книжку з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халатом,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Транспорт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чек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дата документу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B5C" w:rsidRDefault="00670B5C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proofErr w:type="gram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70B5C" w:rsidRPr="00CD6B66" w:rsidRDefault="00670B5C" w:rsidP="00CD6B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color w:val="FF0000"/>
          <w:szCs w:val="26"/>
        </w:rPr>
        <w:t xml:space="preserve">         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BA11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пояснювальна</w:t>
      </w:r>
      <w:proofErr w:type="spellEnd"/>
      <w:r w:rsidRPr="00BA11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записка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</w:t>
      </w:r>
      <w:r w:rsidR="00CD6B6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и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предмету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країну</w:t>
      </w:r>
      <w:proofErr w:type="spellEnd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670B5C" w:rsidRDefault="00CD6B66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копію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експлуатаційного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дозволу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льності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підтвердження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реєстрації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потужностей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рі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ринку. </w:t>
      </w:r>
      <w:proofErr w:type="spellStart"/>
      <w:proofErr w:type="gram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ринку</w:t>
      </w:r>
      <w:proofErr w:type="gram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повинні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здатні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встановити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ринку,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постачають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їм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санітарних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заходів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принципом «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крок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перед» та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забезпечити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доступність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такої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інформації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компетентним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органам за запитом.</w:t>
      </w:r>
    </w:p>
    <w:p w:rsidR="00670B5C" w:rsidRDefault="00B23886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bookmarkStart w:id="0" w:name="_GoBack"/>
      <w:bookmarkEnd w:id="0"/>
      <w:r w:rsidR="00670B5C">
        <w:rPr>
          <w:rFonts w:ascii="Times New Roman" w:eastAsia="Times New Roman" w:hAnsi="Times New Roman" w:cs="Times New Roman CYR"/>
          <w:sz w:val="24"/>
          <w:szCs w:val="24"/>
          <w:lang w:eastAsia="zh-CN"/>
        </w:rPr>
        <w:t>)</w:t>
      </w:r>
      <w:r w:rsidR="00670B5C" w:rsidRPr="00B0513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670B5C" w:rsidRPr="00BA501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0B5C"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компетентного органу,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реалізує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державну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політику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сфері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інспектування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чи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операторами ринку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наприклад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акт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70B5C" w:rsidRPr="00BF5DC4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Разом з кожною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партією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надаватися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супровідна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первинна</w:t>
      </w:r>
      <w:proofErr w:type="spellEnd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документація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накладна,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посвідчення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безпечність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 повинен бути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:rsidR="00670B5C" w:rsidRPr="00F0337D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7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поставленні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безпечність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харчових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продуктів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23.12.1997</w:t>
      </w:r>
      <w:r w:rsidRPr="00F03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№ 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771/97-</w:t>
      </w:r>
      <w:proofErr w:type="gram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ВР,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 нормативно</w:t>
      </w:r>
      <w:proofErr w:type="gramEnd"/>
      <w:r w:rsidRPr="00F033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технологічній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нормам, нормам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стандартизації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супроводжуватись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придатність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B5C" w:rsidRPr="00F0337D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Товар,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постачатись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повинен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повинен бути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упакований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виключати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псування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нищення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на момент поставки не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F5DC4"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виду товару та за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норм і правил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B5C" w:rsidRPr="00B7652E" w:rsidRDefault="00670B5C" w:rsidP="00670B5C">
      <w:pPr>
        <w:pStyle w:val="Standard"/>
        <w:spacing w:after="0" w:line="247" w:lineRule="auto"/>
        <w:jc w:val="both"/>
        <w:rPr>
          <w:lang w:val="uk-UA"/>
        </w:rPr>
      </w:pPr>
      <w:r>
        <w:t xml:space="preserve">        9</w:t>
      </w:r>
      <w:r w:rsidRPr="00F0337D">
        <w:t xml:space="preserve">.  </w:t>
      </w:r>
      <w:proofErr w:type="spellStart"/>
      <w:r w:rsidRPr="00F0337D">
        <w:t>Якщо</w:t>
      </w:r>
      <w:proofErr w:type="spellEnd"/>
      <w:r w:rsidRPr="00F0337D">
        <w:t xml:space="preserve"> </w:t>
      </w:r>
      <w:proofErr w:type="spellStart"/>
      <w:r w:rsidRPr="00F0337D">
        <w:t>поставлений</w:t>
      </w:r>
      <w:proofErr w:type="spellEnd"/>
      <w:r w:rsidRPr="00F0337D">
        <w:t xml:space="preserve"> товар не буде </w:t>
      </w:r>
      <w:proofErr w:type="spellStart"/>
      <w:r w:rsidRPr="00F0337D">
        <w:t>відповідати</w:t>
      </w:r>
      <w:proofErr w:type="spellEnd"/>
      <w:r w:rsidRPr="00F0337D">
        <w:t xml:space="preserve"> </w:t>
      </w:r>
      <w:proofErr w:type="spellStart"/>
      <w:r w:rsidRPr="00F0337D">
        <w:t>своїм</w:t>
      </w:r>
      <w:proofErr w:type="spellEnd"/>
      <w:r w:rsidRPr="00F0337D">
        <w:t xml:space="preserve"> </w:t>
      </w:r>
      <w:proofErr w:type="spellStart"/>
      <w:r w:rsidRPr="00F0337D">
        <w:t>якісним</w:t>
      </w:r>
      <w:proofErr w:type="spellEnd"/>
      <w:r w:rsidRPr="00F0337D">
        <w:t xml:space="preserve"> </w:t>
      </w:r>
      <w:proofErr w:type="gramStart"/>
      <w:r w:rsidRPr="00F0337D">
        <w:t xml:space="preserve">характеристикам, </w:t>
      </w:r>
      <w:r>
        <w:rPr>
          <w:lang w:val="uk-UA"/>
        </w:rPr>
        <w:t xml:space="preserve"> Постачальник</w:t>
      </w:r>
      <w:proofErr w:type="gramEnd"/>
      <w:r w:rsidRPr="00F0337D">
        <w:t xml:space="preserve"> повинен </w:t>
      </w:r>
      <w:proofErr w:type="spellStart"/>
      <w:r w:rsidRPr="00F0337D">
        <w:t>замінити</w:t>
      </w:r>
      <w:proofErr w:type="spellEnd"/>
      <w:r w:rsidRPr="00F0337D">
        <w:t xml:space="preserve"> товар </w:t>
      </w:r>
      <w:proofErr w:type="spellStart"/>
      <w:r w:rsidRPr="00F0337D">
        <w:t>своїми</w:t>
      </w:r>
      <w:proofErr w:type="spellEnd"/>
      <w:r w:rsidRPr="00F0337D">
        <w:t xml:space="preserve"> силами і за </w:t>
      </w:r>
      <w:proofErr w:type="spellStart"/>
      <w:r w:rsidRPr="00F0337D">
        <w:t>свій</w:t>
      </w:r>
      <w:proofErr w:type="spellEnd"/>
      <w:r w:rsidRPr="00F0337D">
        <w:t xml:space="preserve"> </w:t>
      </w:r>
      <w:proofErr w:type="spellStart"/>
      <w:r w:rsidRPr="00F0337D">
        <w:t>рахунок</w:t>
      </w:r>
      <w:proofErr w:type="spellEnd"/>
      <w:r w:rsidRPr="00F0337D">
        <w:t xml:space="preserve"> </w:t>
      </w:r>
      <w:proofErr w:type="spellStart"/>
      <w:r w:rsidRPr="00F0337D">
        <w:t>протягом</w:t>
      </w:r>
      <w:proofErr w:type="spellEnd"/>
      <w:r>
        <w:t xml:space="preserve"> 24</w:t>
      </w:r>
      <w:r w:rsidRPr="00F0337D">
        <w:t xml:space="preserve"> годин. </w:t>
      </w:r>
    </w:p>
    <w:p w:rsidR="00443E65" w:rsidRDefault="00670B5C" w:rsidP="00133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маркування</w:t>
      </w:r>
      <w:proofErr w:type="spellEnd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ярлик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строки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вміст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виду товару.</w:t>
      </w:r>
    </w:p>
    <w:p w:rsidR="00B23886" w:rsidRPr="00133F79" w:rsidRDefault="00B23886" w:rsidP="00133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521"/>
        <w:gridCol w:w="6322"/>
      </w:tblGrid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787550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7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521" w:type="dxa"/>
            <w:vAlign w:val="center"/>
          </w:tcPr>
          <w:p w:rsidR="00670B5C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товару</w:t>
            </w:r>
            <w:proofErr w:type="spellEnd"/>
            <w:r w:rsid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,кіль</w:t>
            </w:r>
          </w:p>
          <w:p w:rsidR="00EC4D35" w:rsidRPr="00670B5C" w:rsidRDefault="00670B5C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6322" w:type="dxa"/>
            <w:noWrap/>
            <w:vAlign w:val="center"/>
          </w:tcPr>
          <w:p w:rsidR="00EC4D35" w:rsidRPr="00670B5C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Характеристики</w:t>
            </w:r>
          </w:p>
        </w:tc>
      </w:tr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6F7359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F735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21" w:type="dxa"/>
            <w:vAlign w:val="center"/>
          </w:tcPr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Мед натуральний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,</w:t>
            </w:r>
          </w:p>
          <w:p w:rsidR="00670B5C" w:rsidRPr="006F7359" w:rsidRDefault="00CD6B66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00 кг</w:t>
            </w:r>
          </w:p>
        </w:tc>
        <w:tc>
          <w:tcPr>
            <w:tcW w:w="6322" w:type="dxa"/>
            <w:noWrap/>
            <w:vAlign w:val="center"/>
          </w:tcPr>
          <w:p w:rsidR="00EC4D35" w:rsidRPr="00133F79" w:rsidRDefault="00EC4D35" w:rsidP="00670B5C">
            <w:pPr>
              <w:tabs>
                <w:tab w:val="left" w:leader="hyphen" w:pos="2205"/>
              </w:tabs>
              <w:suppressAutoHyphens/>
              <w:ind w:left="4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>Колір світло-жовтий, жовтий, темно-жовтий, темний з різними відтінками; смак солодкий, ніжний, приємний, терпкий, без сторонніх при смаків; аромат специфічний, приємний, сильний, ніжний, без сторонніх запахів; консистенція однорідна, в'язка, щільна. Ознаки бродіння (закисання) не 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озволені, механічні домішки не д</w:t>
            </w: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>озволені.</w:t>
            </w:r>
            <w:r w:rsidR="00670B5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 xml:space="preserve">Має відповідати вимогам </w:t>
            </w:r>
            <w:r w:rsidRPr="002E4D7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ДС</w:t>
            </w:r>
            <w:r w:rsidR="00CD6B6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ТУ  4497:2005  Заготовлений 2023</w:t>
            </w:r>
            <w:r w:rsidRPr="002E4D7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 xml:space="preserve"> року . Розфасований  у відповідну тару  від 1 кг до 3 кг, вартість якої входить до ціни товару. </w:t>
            </w:r>
          </w:p>
        </w:tc>
      </w:tr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FB6A17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521" w:type="dxa"/>
            <w:vAlign w:val="center"/>
          </w:tcPr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Яйця курячі</w:t>
            </w:r>
          </w:p>
          <w:p w:rsidR="00EC4D35" w:rsidRDefault="00CD6B66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115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00 </w:t>
            </w:r>
            <w:proofErr w:type="spellStart"/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шт</w:t>
            </w:r>
            <w:proofErr w:type="spellEnd"/>
          </w:p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6322" w:type="dxa"/>
            <w:noWrap/>
            <w:vAlign w:val="center"/>
          </w:tcPr>
          <w:p w:rsidR="00EC4D35" w:rsidRPr="00133F79" w:rsidRDefault="00EC4D35" w:rsidP="00133F79">
            <w:pPr>
              <w:rPr>
                <w:rFonts w:ascii="Times New Roman" w:hAnsi="Times New Roman" w:cs="Times New Roman"/>
                <w:lang w:val="uk-UA"/>
              </w:rPr>
            </w:pPr>
            <w:r w:rsidRPr="002E4D76">
              <w:rPr>
                <w:rFonts w:ascii="Times New Roman" w:hAnsi="Times New Roman" w:cs="Times New Roman"/>
              </w:rPr>
              <w:t xml:space="preserve">Товар –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курячі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столові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2E4D76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)  першої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нормативному документу на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цей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вид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(товару):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</w:rPr>
              <w:t>ДСТУ 5028:2008 «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курячі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2E4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», Закону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»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іншим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обігу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. Тара –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картонні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коробки, на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яких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ярлики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яких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вказано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виробника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маса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нетто/брутто, дата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4D76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незабруднені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розсортовані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класом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категорією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цільності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. На ящику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позначка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 w:rsidRPr="002E4D7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Маса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53</w:t>
            </w:r>
            <w:r w:rsidRPr="002E4D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62,9 </w:t>
            </w:r>
            <w:r w:rsidRPr="002E4D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Маркування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тари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повинно бути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чинними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правовими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актами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нормативними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документами, 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споживачів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щодо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"№ 2639-VIII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2018 року.</w:t>
            </w:r>
          </w:p>
        </w:tc>
      </w:tr>
    </w:tbl>
    <w:p w:rsidR="00916950" w:rsidRPr="00133F79" w:rsidRDefault="00916950" w:rsidP="00AF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16950" w:rsidRPr="00133F79" w:rsidSect="0001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65"/>
    <w:rsid w:val="00007358"/>
    <w:rsid w:val="00010992"/>
    <w:rsid w:val="000A1F08"/>
    <w:rsid w:val="00133F79"/>
    <w:rsid w:val="0028098B"/>
    <w:rsid w:val="002A78AF"/>
    <w:rsid w:val="002E4D76"/>
    <w:rsid w:val="00333BAD"/>
    <w:rsid w:val="003F4F2C"/>
    <w:rsid w:val="00443E65"/>
    <w:rsid w:val="00660327"/>
    <w:rsid w:val="00670B5C"/>
    <w:rsid w:val="006E3BEA"/>
    <w:rsid w:val="00723A32"/>
    <w:rsid w:val="007856BD"/>
    <w:rsid w:val="00842585"/>
    <w:rsid w:val="00896DF4"/>
    <w:rsid w:val="008C26D0"/>
    <w:rsid w:val="008F2B5A"/>
    <w:rsid w:val="00916950"/>
    <w:rsid w:val="00A5575C"/>
    <w:rsid w:val="00AF5E5D"/>
    <w:rsid w:val="00B23886"/>
    <w:rsid w:val="00B720EF"/>
    <w:rsid w:val="00C13FCE"/>
    <w:rsid w:val="00CD6B66"/>
    <w:rsid w:val="00D57AF3"/>
    <w:rsid w:val="00DF6A58"/>
    <w:rsid w:val="00EC4D35"/>
    <w:rsid w:val="00F90474"/>
    <w:rsid w:val="00FB6A17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E39"/>
  <w15:docId w15:val="{DBE1E8F8-CF41-441F-9960-3160F3D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43E65"/>
    <w:pPr>
      <w:spacing w:after="0"/>
    </w:pPr>
    <w:rPr>
      <w:rFonts w:ascii="Arial" w:eastAsia="Calibri" w:hAnsi="Arial" w:cs="Arial"/>
      <w:color w:val="000000"/>
    </w:rPr>
  </w:style>
  <w:style w:type="character" w:styleId="HTML">
    <w:name w:val="HTML Typewriter"/>
    <w:rsid w:val="00D57AF3"/>
    <w:rPr>
      <w:rFonts w:ascii="Courier New" w:eastAsia="Times New Roman" w:hAnsi="Courier New" w:cs="Courier New"/>
      <w:sz w:val="20"/>
      <w:szCs w:val="20"/>
    </w:rPr>
  </w:style>
  <w:style w:type="paragraph" w:customStyle="1" w:styleId="newsdetailcardtext">
    <w:name w:val="newsdetailcard__text"/>
    <w:basedOn w:val="a"/>
    <w:rsid w:val="000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0B5C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17</cp:revision>
  <cp:lastPrinted>2022-01-04T13:18:00Z</cp:lastPrinted>
  <dcterms:created xsi:type="dcterms:W3CDTF">2022-01-03T12:59:00Z</dcterms:created>
  <dcterms:modified xsi:type="dcterms:W3CDTF">2023-12-15T13:14:00Z</dcterms:modified>
</cp:coreProperties>
</file>