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DA21B6">
        <w:rPr>
          <w:b/>
          <w:lang w:val="ru-RU"/>
        </w:rPr>
        <w:t>3</w:t>
      </w:r>
      <w:r w:rsidR="00AE6BDC">
        <w:rPr>
          <w:b/>
          <w:lang w:val="ru-RU"/>
        </w:rPr>
        <w:t>9</w:t>
      </w:r>
    </w:p>
    <w:p w:rsidR="00587360" w:rsidRPr="0022737F" w:rsidRDefault="005637F1" w:rsidP="00D33796">
      <w:pPr>
        <w:jc w:val="right"/>
        <w:rPr>
          <w:b/>
        </w:rPr>
      </w:pPr>
      <w:r w:rsidRPr="00465545">
        <w:rPr>
          <w:b/>
        </w:rPr>
        <w:t xml:space="preserve">ВІД </w:t>
      </w:r>
      <w:r w:rsidR="00FC5826">
        <w:rPr>
          <w:b/>
          <w:lang w:val="ru-RU"/>
        </w:rPr>
        <w:t xml:space="preserve">  </w:t>
      </w:r>
      <w:r w:rsidR="00AE6BDC">
        <w:rPr>
          <w:b/>
          <w:lang w:val="ru-RU"/>
        </w:rPr>
        <w:t>03</w:t>
      </w:r>
      <w:r w:rsidR="00F56046">
        <w:rPr>
          <w:b/>
          <w:lang w:val="ru-RU"/>
        </w:rPr>
        <w:t>.</w:t>
      </w:r>
      <w:r w:rsidR="00736887">
        <w:rPr>
          <w:b/>
          <w:lang w:val="ru-RU"/>
        </w:rPr>
        <w:t>01</w:t>
      </w:r>
      <w:r w:rsidR="004C2EAD">
        <w:rPr>
          <w:b/>
          <w:lang w:val="ru-RU"/>
        </w:rPr>
        <w:t>.</w:t>
      </w:r>
      <w:r w:rsidR="00736887">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AE6BDC" w:rsidP="00FC5826">
      <w:pPr>
        <w:pStyle w:val="10"/>
        <w:spacing w:line="337" w:lineRule="atLeast"/>
        <w:ind w:left="94" w:right="94"/>
        <w:jc w:val="center"/>
        <w:textAlignment w:val="baseline"/>
        <w:rPr>
          <w:sz w:val="28"/>
        </w:rPr>
      </w:pPr>
      <w:r>
        <w:rPr>
          <w:color w:val="000000"/>
          <w:sz w:val="28"/>
          <w:szCs w:val="28"/>
          <w:shd w:val="clear" w:color="auto" w:fill="FFFFFF"/>
        </w:rPr>
        <w:t>Труби каналізаційні, фітинги</w:t>
      </w:r>
    </w:p>
    <w:p w:rsidR="00736887" w:rsidRPr="00AE6BDC" w:rsidRDefault="00FF2CC6" w:rsidP="00736887">
      <w:pPr>
        <w:spacing w:line="276" w:lineRule="auto"/>
        <w:jc w:val="center"/>
        <w:rPr>
          <w:b/>
          <w:color w:val="000000"/>
          <w:sz w:val="32"/>
          <w:szCs w:val="32"/>
        </w:rPr>
      </w:pPr>
      <w:r w:rsidRPr="00FF2CC6">
        <w:rPr>
          <w:color w:val="000000"/>
          <w:sz w:val="28"/>
          <w:szCs w:val="28"/>
          <w:bdr w:val="none" w:sz="0" w:space="0" w:color="auto" w:frame="1"/>
        </w:rPr>
        <w:br/>
      </w:r>
      <w:r w:rsidR="00F56046" w:rsidRPr="00D9660C">
        <w:rPr>
          <w:b/>
          <w:color w:val="000000"/>
          <w:sz w:val="48"/>
          <w:szCs w:val="48"/>
          <w:shd w:val="clear" w:color="auto" w:fill="FDFEFD"/>
        </w:rPr>
        <w:t> </w:t>
      </w:r>
      <w:r w:rsidR="00F56046" w:rsidRPr="00D9660C">
        <w:rPr>
          <w:rFonts w:ascii="Arial" w:hAnsi="Arial" w:cs="Arial"/>
          <w:color w:val="777777"/>
          <w:sz w:val="48"/>
          <w:szCs w:val="48"/>
          <w:shd w:val="clear" w:color="auto" w:fill="FDFEFD"/>
        </w:rPr>
        <w:t> </w:t>
      </w:r>
      <w:r w:rsidR="00AE6BDC" w:rsidRPr="00DA65BE">
        <w:rPr>
          <w:color w:val="000000"/>
          <w:sz w:val="32"/>
          <w:szCs w:val="32"/>
          <w:bdr w:val="none" w:sz="0" w:space="0" w:color="auto" w:frame="1"/>
          <w:shd w:val="clear" w:color="auto" w:fill="FDFEFD"/>
        </w:rPr>
        <w:t>44160000-9</w:t>
      </w:r>
      <w:r w:rsidR="00AE6BDC" w:rsidRPr="00DA65BE">
        <w:rPr>
          <w:color w:val="777777"/>
          <w:sz w:val="32"/>
          <w:szCs w:val="32"/>
          <w:shd w:val="clear" w:color="auto" w:fill="FDFEFD"/>
        </w:rPr>
        <w:t> - </w:t>
      </w:r>
      <w:r w:rsidR="00AE6BDC" w:rsidRPr="00DA65BE">
        <w:rPr>
          <w:color w:val="000000"/>
          <w:sz w:val="32"/>
          <w:szCs w:val="32"/>
          <w:bdr w:val="none" w:sz="0" w:space="0" w:color="auto" w:frame="1"/>
          <w:shd w:val="clear" w:color="auto" w:fill="FDFEFD"/>
        </w:rPr>
        <w:t>Магістралі, трубопроводи, труби, обсадні труби, тюбінги та супутні вироби</w:t>
      </w:r>
    </w:p>
    <w:p w:rsidR="00F56046" w:rsidRPr="00AE6BDC" w:rsidRDefault="00F56046" w:rsidP="00F56046">
      <w:pPr>
        <w:spacing w:line="276" w:lineRule="auto"/>
        <w:jc w:val="center"/>
        <w:rPr>
          <w:b/>
          <w:color w:val="000000"/>
          <w:sz w:val="36"/>
          <w:szCs w:val="36"/>
        </w:rPr>
      </w:pP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AE6BDC" w:rsidRPr="00AE6BDC" w:rsidRDefault="00AE6BDC" w:rsidP="00AE6BDC">
            <w:pPr>
              <w:pStyle w:val="10"/>
              <w:spacing w:line="337" w:lineRule="atLeast"/>
              <w:ind w:left="94" w:right="94"/>
              <w:jc w:val="center"/>
              <w:textAlignment w:val="baseline"/>
              <w:rPr>
                <w:sz w:val="28"/>
              </w:rPr>
            </w:pPr>
            <w:r>
              <w:rPr>
                <w:color w:val="000000"/>
                <w:sz w:val="28"/>
                <w:szCs w:val="28"/>
                <w:shd w:val="clear" w:color="auto" w:fill="FFFFFF"/>
              </w:rPr>
              <w:t>Труби каналізаційні, фітинги</w:t>
            </w:r>
            <w:r w:rsidRPr="00FF2CC6">
              <w:rPr>
                <w:color w:val="000000"/>
                <w:sz w:val="28"/>
                <w:szCs w:val="28"/>
                <w:bdr w:val="none" w:sz="0" w:space="0" w:color="auto" w:frame="1"/>
              </w:rPr>
              <w:br/>
            </w:r>
            <w:r w:rsidRPr="00D9660C">
              <w:rPr>
                <w:color w:val="000000"/>
                <w:sz w:val="48"/>
                <w:szCs w:val="48"/>
                <w:shd w:val="clear" w:color="auto" w:fill="FDFEFD"/>
              </w:rPr>
              <w:t> </w:t>
            </w:r>
            <w:r w:rsidRPr="00D9660C">
              <w:rPr>
                <w:rFonts w:ascii="Arial" w:hAnsi="Arial" w:cs="Arial"/>
                <w:color w:val="777777"/>
                <w:sz w:val="48"/>
                <w:szCs w:val="48"/>
                <w:shd w:val="clear" w:color="auto" w:fill="FDFEFD"/>
              </w:rPr>
              <w:t> </w:t>
            </w:r>
            <w:r w:rsidRPr="00DA65BE">
              <w:rPr>
                <w:color w:val="000000"/>
                <w:sz w:val="32"/>
                <w:szCs w:val="32"/>
                <w:bdr w:val="none" w:sz="0" w:space="0" w:color="auto" w:frame="1"/>
                <w:shd w:val="clear" w:color="auto" w:fill="FDFEFD"/>
              </w:rPr>
              <w:t>44160000-9</w:t>
            </w:r>
            <w:r w:rsidRPr="00DA65BE">
              <w:rPr>
                <w:color w:val="777777"/>
                <w:sz w:val="32"/>
                <w:szCs w:val="32"/>
                <w:shd w:val="clear" w:color="auto" w:fill="FDFEFD"/>
              </w:rPr>
              <w:t> - </w:t>
            </w:r>
            <w:r w:rsidRPr="00DA65BE">
              <w:rPr>
                <w:color w:val="000000"/>
                <w:sz w:val="32"/>
                <w:szCs w:val="32"/>
                <w:bdr w:val="none" w:sz="0" w:space="0" w:color="auto" w:frame="1"/>
                <w:shd w:val="clear" w:color="auto" w:fill="FDFEFD"/>
              </w:rPr>
              <w:t>Магістралі, трубопроводи, труби, обсадні труби, тюбінги та супутні вироби</w:t>
            </w:r>
          </w:p>
          <w:p w:rsidR="00E14CA1" w:rsidRPr="00736887" w:rsidRDefault="00E14CA1" w:rsidP="00736887">
            <w:pPr>
              <w:pStyle w:val="10"/>
              <w:spacing w:line="337" w:lineRule="atLeast"/>
              <w:ind w:left="94" w:right="94"/>
              <w:jc w:val="center"/>
              <w:textAlignment w:val="baseline"/>
              <w:rPr>
                <w:sz w:val="28"/>
                <w:szCs w:val="28"/>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w:t>
            </w:r>
            <w:r w:rsidRPr="0022737F">
              <w:rPr>
                <w:b/>
                <w:kern w:val="23"/>
              </w:rPr>
              <w:lastRenderedPageBreak/>
              <w:t>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w:t>
            </w:r>
            <w:r w:rsidRPr="00622CC4">
              <w:lastRenderedPageBreak/>
              <w:t>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w:t>
            </w:r>
            <w:r w:rsidRPr="00622CC4">
              <w:lastRenderedPageBreak/>
              <w:t>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lastRenderedPageBreak/>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w:t>
            </w:r>
            <w:r w:rsidRPr="0022737F">
              <w:lastRenderedPageBreak/>
              <w:t>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622CC4">
              <w:rPr>
                <w:rFonts w:ascii="Times New Roman" w:hAnsi="Times New Roman"/>
                <w:sz w:val="24"/>
                <w:szCs w:val="24"/>
              </w:rPr>
              <w:lastRenderedPageBreak/>
              <w:t>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622CC4">
              <w:rPr>
                <w:rFonts w:ascii="Times New Roman" w:hAnsi="Times New Roman"/>
                <w:sz w:val="24"/>
                <w:szCs w:val="24"/>
              </w:rPr>
              <w:lastRenderedPageBreak/>
              <w:t>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lastRenderedPageBreak/>
              <w:t xml:space="preserve">- </w:t>
            </w:r>
            <w:r w:rsidR="00227156" w:rsidRPr="0031000B">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AE6BDC" w:rsidP="00DC4562">
            <w:pPr>
              <w:ind w:left="75" w:right="187"/>
              <w:contextualSpacing/>
              <w:rPr>
                <w:b/>
              </w:rPr>
            </w:pPr>
            <w:r>
              <w:rPr>
                <w:b/>
              </w:rPr>
              <w:t>11</w:t>
            </w:r>
            <w:r w:rsidR="00736887">
              <w:rPr>
                <w:b/>
              </w:rPr>
              <w:t>.</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 xml:space="preserve">Особливостей. Замовник, орган оскарження та Держаудитслужба мають доступ в електронній системі закупівель до інформації, яка визначена </w:t>
            </w:r>
            <w:r w:rsidRPr="00622CC4">
              <w:lastRenderedPageBreak/>
              <w:t>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Pr="00622CC4">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622CC4">
              <w:lastRenderedPageBreak/>
              <w:t>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w:t>
            </w:r>
            <w:r w:rsidRPr="00622CC4">
              <w:rPr>
                <w:shd w:val="clear" w:color="auto" w:fill="FFFFFF"/>
              </w:rPr>
              <w:lastRenderedPageBreak/>
              <w:t xml:space="preserve">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w:t>
            </w:r>
            <w:r w:rsidRPr="00622CC4">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 xml:space="preserve">(наприклад, ненадання протоколу зборів засновників, посилання на який наявне у наказі про </w:t>
            </w:r>
            <w:r w:rsidRPr="00622CC4">
              <w:rPr>
                <w:i/>
                <w:iCs/>
              </w:rPr>
              <w:lastRenderedPageBreak/>
              <w:t>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622CC4">
              <w:lastRenderedPageBreak/>
              <w:t xml:space="preserve">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w:t>
            </w:r>
            <w:r w:rsidRPr="00622CC4">
              <w:rPr>
                <w:rFonts w:ascii="Times New Roman" w:hAnsi="Times New Roman"/>
                <w:sz w:val="24"/>
                <w:szCs w:val="24"/>
              </w:rPr>
              <w:lastRenderedPageBreak/>
              <w:t xml:space="preserve">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622CC4">
              <w:rPr>
                <w:rFonts w:ascii="Times New Roman" w:hAnsi="Times New Roman"/>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622CC4">
              <w:lastRenderedPageBreak/>
              <w:t>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622CC4">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w:t>
            </w:r>
            <w:r w:rsidRPr="0022737F">
              <w:rPr>
                <w:b/>
              </w:rPr>
              <w:lastRenderedPageBreak/>
              <w:t>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w:t>
            </w:r>
            <w:r w:rsidRPr="00622CC4">
              <w:rPr>
                <w:shd w:val="solid" w:color="FFFFFF" w:fill="FFFFFF"/>
                <w:lang w:eastAsia="en-US"/>
              </w:rPr>
              <w:lastRenderedPageBreak/>
              <w:t xml:space="preserve">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202D1E">
              <w:rPr>
                <w:b/>
              </w:rPr>
              <w:t>Фізична особа</w:t>
            </w:r>
            <w:r w:rsidRPr="00622CC4">
              <w:t>,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202D1E">
              <w:rPr>
                <w:b/>
              </w:rPr>
              <w:t>Керівник учасника</w:t>
            </w:r>
            <w:r w:rsidRPr="00622CC4">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911209" w:rsidRPr="00AE6BDC"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lang w:val="ru-RU"/>
              </w:rPr>
            </w:pPr>
            <w:r w:rsidRPr="00202D1E">
              <w:rPr>
                <w:b/>
              </w:rPr>
              <w:t>Керівника учасника</w:t>
            </w:r>
            <w:r w:rsidRPr="00622CC4">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 xml:space="preserve">овідка </w:t>
            </w:r>
            <w:r w:rsidR="00133280" w:rsidRPr="00C6200E">
              <w:rPr>
                <w:b/>
                <w:iCs/>
              </w:rPr>
              <w:t>на керівника учасника</w:t>
            </w:r>
            <w:r w:rsidR="00C6200E" w:rsidRPr="00C6200E">
              <w:rPr>
                <w:iCs/>
              </w:rPr>
              <w:t xml:space="preserve"> </w:t>
            </w:r>
            <w:r w:rsidR="00133280" w:rsidRPr="00622CC4">
              <w:rPr>
                <w:iCs/>
              </w:rPr>
              <w:t>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202D1E">
              <w:rPr>
                <w:b/>
                <w:shd w:val="clear" w:color="auto" w:fill="FFFFFF"/>
              </w:rPr>
              <w:t>Учасник процедури</w:t>
            </w:r>
            <w:r w:rsidRPr="00622CC4">
              <w:rPr>
                <w:shd w:val="clear" w:color="auto" w:fill="FFFFFF"/>
              </w:rPr>
              <w:t xml:space="preserve">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E225E0" w:rsidRDefault="00393BB2" w:rsidP="00E225E0">
      <w:pPr>
        <w:widowControl w:val="0"/>
        <w:ind w:left="318" w:firstLine="425"/>
        <w:jc w:val="right"/>
        <w:rPr>
          <w:bCs/>
          <w:snapToGrid w:val="0"/>
          <w:lang w:eastAsia="ru-RU"/>
        </w:rPr>
      </w:pPr>
      <w:r w:rsidRPr="0022737F">
        <w:rPr>
          <w:bCs/>
          <w:snapToGrid w:val="0"/>
          <w:lang w:eastAsia="ru-RU"/>
        </w:rPr>
        <w:t>до тендерної документації</w:t>
      </w: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tbl>
      <w:tblPr>
        <w:tblW w:w="9820" w:type="dxa"/>
        <w:tblInd w:w="91" w:type="dxa"/>
        <w:tblLook w:val="04A0"/>
      </w:tblPr>
      <w:tblGrid>
        <w:gridCol w:w="960"/>
        <w:gridCol w:w="6940"/>
        <w:gridCol w:w="960"/>
        <w:gridCol w:w="960"/>
      </w:tblGrid>
      <w:tr w:rsidR="00E225E0" w:rsidRPr="00603D58" w:rsidTr="003A6F68">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w:t>
            </w:r>
          </w:p>
        </w:tc>
        <w:tc>
          <w:tcPr>
            <w:tcW w:w="6940" w:type="dxa"/>
            <w:tcBorders>
              <w:top w:val="single" w:sz="4" w:space="0" w:color="auto"/>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rPr>
            </w:pPr>
            <w:r w:rsidRPr="00603D58">
              <w:rPr>
                <w:color w:val="000000"/>
              </w:rPr>
              <w:t xml:space="preserve">Труба каналізаційна гофрована двохшарова  (SN8) Dn- 600;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м.п</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6</w:t>
            </w:r>
          </w:p>
        </w:tc>
      </w:tr>
      <w:tr w:rsidR="00E225E0" w:rsidRPr="00603D58" w:rsidTr="003A6F68">
        <w:trPr>
          <w:trHeight w:val="33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2</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rPr>
            </w:pPr>
            <w:r w:rsidRPr="00603D58">
              <w:rPr>
                <w:color w:val="000000"/>
              </w:rPr>
              <w:t xml:space="preserve">Труба каналізаційна гофрована двохшарова  (SN8) Dn- </w:t>
            </w:r>
            <w:r w:rsidR="000A42B9">
              <w:rPr>
                <w:color w:val="000000"/>
              </w:rPr>
              <w:t>500</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6</w:t>
            </w:r>
          </w:p>
        </w:tc>
      </w:tr>
      <w:tr w:rsidR="00E225E0" w:rsidRPr="00603D58" w:rsidTr="003A6F6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3</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sz w:val="22"/>
                <w:szCs w:val="22"/>
              </w:rPr>
            </w:pPr>
            <w:r w:rsidRPr="00603D58">
              <w:rPr>
                <w:color w:val="000000"/>
                <w:sz w:val="22"/>
                <w:szCs w:val="22"/>
              </w:rPr>
              <w:t xml:space="preserve">Труба каналізаційна гофрована двохшарова  (SN8) Dn- 400;  </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BA7282" w:rsidP="003A6F68">
            <w:pPr>
              <w:jc w:val="center"/>
              <w:rPr>
                <w:color w:val="000000"/>
                <w:sz w:val="22"/>
                <w:szCs w:val="22"/>
              </w:rPr>
            </w:pPr>
            <w:r>
              <w:rPr>
                <w:color w:val="000000"/>
                <w:sz w:val="22"/>
                <w:szCs w:val="22"/>
              </w:rPr>
              <w:t>6</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4</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sz w:val="22"/>
                <w:szCs w:val="22"/>
              </w:rPr>
            </w:pPr>
            <w:r w:rsidRPr="00603D58">
              <w:rPr>
                <w:color w:val="000000"/>
                <w:sz w:val="22"/>
                <w:szCs w:val="22"/>
              </w:rPr>
              <w:t xml:space="preserve">Труба каналізаційна гофрована двохшарова  (SN8) Dn- 300;  </w:t>
            </w:r>
          </w:p>
        </w:tc>
        <w:tc>
          <w:tcPr>
            <w:tcW w:w="960" w:type="dxa"/>
            <w:tcBorders>
              <w:top w:val="nil"/>
              <w:left w:val="nil"/>
              <w:bottom w:val="single" w:sz="4" w:space="0" w:color="auto"/>
              <w:right w:val="single" w:sz="4" w:space="0" w:color="auto"/>
            </w:tcBorders>
            <w:shd w:val="clear" w:color="auto" w:fill="auto"/>
            <w:hideMark/>
          </w:tcPr>
          <w:p w:rsidR="00E225E0" w:rsidRPr="00603D58" w:rsidRDefault="00E225E0" w:rsidP="003A6F68">
            <w:pPr>
              <w:jc w:val="center"/>
              <w:rPr>
                <w:color w:val="000000"/>
                <w:sz w:val="22"/>
                <w:szCs w:val="22"/>
              </w:rPr>
            </w:pPr>
            <w:r w:rsidRPr="00603D58">
              <w:rPr>
                <w:color w:val="000000"/>
                <w:sz w:val="22"/>
                <w:szCs w:val="22"/>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30</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5</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rPr>
            </w:pPr>
            <w:r w:rsidRPr="00603D58">
              <w:rPr>
                <w:color w:val="000000"/>
              </w:rPr>
              <w:t xml:space="preserve">Труба каналізаційна </w:t>
            </w:r>
            <w:r w:rsidRPr="00603D58">
              <w:rPr>
                <w:color w:val="000000"/>
                <w:sz w:val="22"/>
                <w:szCs w:val="22"/>
              </w:rPr>
              <w:t xml:space="preserve">гофрована двохшарова  </w:t>
            </w:r>
            <w:r w:rsidRPr="00603D58">
              <w:rPr>
                <w:color w:val="000000"/>
              </w:rPr>
              <w:t xml:space="preserve">(SN8) Dn- 250;  </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6</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sz w:val="22"/>
                <w:szCs w:val="22"/>
              </w:rPr>
            </w:pPr>
            <w:r w:rsidRPr="00603D58">
              <w:rPr>
                <w:color w:val="000000"/>
                <w:sz w:val="22"/>
                <w:szCs w:val="22"/>
              </w:rPr>
              <w:t xml:space="preserve">Труба каналізаційна гофрована двохшарова  (SN8) Dn- 200;  </w:t>
            </w:r>
          </w:p>
        </w:tc>
        <w:tc>
          <w:tcPr>
            <w:tcW w:w="960" w:type="dxa"/>
            <w:tcBorders>
              <w:top w:val="nil"/>
              <w:left w:val="nil"/>
              <w:bottom w:val="single" w:sz="4" w:space="0" w:color="auto"/>
              <w:right w:val="single" w:sz="4" w:space="0" w:color="auto"/>
            </w:tcBorders>
            <w:shd w:val="clear" w:color="auto" w:fill="auto"/>
            <w:hideMark/>
          </w:tcPr>
          <w:p w:rsidR="00E225E0" w:rsidRPr="00603D58" w:rsidRDefault="00E225E0" w:rsidP="003A6F68">
            <w:pPr>
              <w:jc w:val="center"/>
              <w:rPr>
                <w:color w:val="000000"/>
                <w:sz w:val="22"/>
                <w:szCs w:val="22"/>
              </w:rPr>
            </w:pPr>
            <w:r w:rsidRPr="00603D58">
              <w:rPr>
                <w:color w:val="000000"/>
                <w:sz w:val="22"/>
                <w:szCs w:val="22"/>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BA7282" w:rsidP="003A6F68">
            <w:pPr>
              <w:jc w:val="center"/>
              <w:rPr>
                <w:color w:val="000000"/>
                <w:sz w:val="22"/>
                <w:szCs w:val="22"/>
              </w:rPr>
            </w:pPr>
            <w:r>
              <w:rPr>
                <w:color w:val="000000"/>
                <w:sz w:val="22"/>
                <w:szCs w:val="22"/>
              </w:rPr>
              <w:t>12</w:t>
            </w:r>
          </w:p>
        </w:tc>
      </w:tr>
      <w:tr w:rsidR="00E225E0" w:rsidRPr="00603D58" w:rsidTr="003A6F6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7</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sz w:val="22"/>
                <w:szCs w:val="22"/>
              </w:rPr>
            </w:pPr>
            <w:r w:rsidRPr="00603D58">
              <w:rPr>
                <w:color w:val="000000"/>
                <w:sz w:val="22"/>
                <w:szCs w:val="22"/>
              </w:rPr>
              <w:t>Труба каналізаційна гофрована двохшарова  (SN8) Dn- 160;  .</w:t>
            </w:r>
          </w:p>
        </w:tc>
        <w:tc>
          <w:tcPr>
            <w:tcW w:w="960" w:type="dxa"/>
            <w:tcBorders>
              <w:top w:val="nil"/>
              <w:left w:val="nil"/>
              <w:bottom w:val="single" w:sz="4" w:space="0" w:color="auto"/>
              <w:right w:val="single" w:sz="4" w:space="0" w:color="auto"/>
            </w:tcBorders>
            <w:shd w:val="clear" w:color="auto" w:fill="auto"/>
            <w:hideMark/>
          </w:tcPr>
          <w:p w:rsidR="00E225E0" w:rsidRPr="00603D58" w:rsidRDefault="00E225E0" w:rsidP="003A6F68">
            <w:pPr>
              <w:jc w:val="center"/>
              <w:rPr>
                <w:color w:val="000000"/>
                <w:sz w:val="22"/>
                <w:szCs w:val="22"/>
              </w:rPr>
            </w:pPr>
            <w:r w:rsidRPr="00603D58">
              <w:rPr>
                <w:color w:val="000000"/>
                <w:sz w:val="22"/>
                <w:szCs w:val="22"/>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30</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8</w:t>
            </w:r>
          </w:p>
        </w:tc>
        <w:tc>
          <w:tcPr>
            <w:tcW w:w="694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E225E0">
            <w:pPr>
              <w:rPr>
                <w:color w:val="000000"/>
                <w:sz w:val="22"/>
                <w:szCs w:val="22"/>
              </w:rPr>
            </w:pPr>
            <w:r w:rsidRPr="00603D58">
              <w:rPr>
                <w:color w:val="000000"/>
                <w:sz w:val="22"/>
                <w:szCs w:val="22"/>
              </w:rPr>
              <w:t xml:space="preserve">Труба каналізаційна гофрована двохшарова  (SN8) Dn- 110;  </w:t>
            </w:r>
          </w:p>
        </w:tc>
        <w:tc>
          <w:tcPr>
            <w:tcW w:w="960" w:type="dxa"/>
            <w:tcBorders>
              <w:top w:val="nil"/>
              <w:left w:val="nil"/>
              <w:bottom w:val="single" w:sz="4" w:space="0" w:color="auto"/>
              <w:right w:val="single" w:sz="4" w:space="0" w:color="auto"/>
            </w:tcBorders>
            <w:shd w:val="clear" w:color="auto" w:fill="auto"/>
            <w:hideMark/>
          </w:tcPr>
          <w:p w:rsidR="00E225E0" w:rsidRPr="00603D58" w:rsidRDefault="00E225E0" w:rsidP="003A6F68">
            <w:pPr>
              <w:jc w:val="center"/>
              <w:rPr>
                <w:color w:val="000000"/>
                <w:sz w:val="22"/>
                <w:szCs w:val="22"/>
              </w:rPr>
            </w:pPr>
            <w:r w:rsidRPr="00603D58">
              <w:rPr>
                <w:color w:val="000000"/>
                <w:sz w:val="22"/>
                <w:szCs w:val="22"/>
              </w:rPr>
              <w:t>м.п</w:t>
            </w:r>
          </w:p>
        </w:tc>
        <w:tc>
          <w:tcPr>
            <w:tcW w:w="960" w:type="dxa"/>
            <w:tcBorders>
              <w:top w:val="nil"/>
              <w:left w:val="nil"/>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30</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9</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E225E0">
            <w:pPr>
              <w:rPr>
                <w:color w:val="000000"/>
                <w:sz w:val="22"/>
                <w:szCs w:val="22"/>
              </w:rPr>
            </w:pPr>
            <w:r w:rsidRPr="00603D58">
              <w:rPr>
                <w:color w:val="000000"/>
                <w:sz w:val="22"/>
                <w:szCs w:val="22"/>
              </w:rPr>
              <w:t xml:space="preserve">Муфта для з`єдн. труби </w:t>
            </w:r>
            <w:r>
              <w:rPr>
                <w:color w:val="000000"/>
                <w:sz w:val="22"/>
                <w:szCs w:val="22"/>
              </w:rPr>
              <w:t xml:space="preserve">гофрованої </w:t>
            </w:r>
            <w:r w:rsidRPr="00603D58">
              <w:rPr>
                <w:color w:val="000000"/>
                <w:sz w:val="22"/>
                <w:szCs w:val="22"/>
              </w:rPr>
              <w:t xml:space="preserve"> Dn-110 </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5</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10</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Муфта для з`єдн. труби каналіз.</w:t>
            </w:r>
            <w:r>
              <w:rPr>
                <w:color w:val="000000"/>
                <w:sz w:val="22"/>
                <w:szCs w:val="22"/>
              </w:rPr>
              <w:t xml:space="preserve"> гофрованої</w:t>
            </w:r>
            <w:r w:rsidRPr="00603D58">
              <w:rPr>
                <w:color w:val="000000"/>
                <w:sz w:val="22"/>
                <w:szCs w:val="22"/>
              </w:rPr>
              <w:t xml:space="preserve"> Dn-160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5</w:t>
            </w:r>
          </w:p>
        </w:tc>
      </w:tr>
      <w:tr w:rsidR="00E225E0" w:rsidRPr="00603D58" w:rsidTr="003A6F6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11</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Муфта для з`єдн. труби каналіз.</w:t>
            </w:r>
            <w:r>
              <w:rPr>
                <w:color w:val="000000"/>
                <w:sz w:val="22"/>
                <w:szCs w:val="22"/>
              </w:rPr>
              <w:t xml:space="preserve"> гофрованої</w:t>
            </w:r>
            <w:r w:rsidRPr="00603D58">
              <w:rPr>
                <w:color w:val="000000"/>
                <w:sz w:val="22"/>
                <w:szCs w:val="22"/>
              </w:rPr>
              <w:t xml:space="preserve"> Dn-200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12</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Муфта для з`єдн. труби каналіз.</w:t>
            </w:r>
            <w:r>
              <w:rPr>
                <w:color w:val="000000"/>
                <w:sz w:val="22"/>
                <w:szCs w:val="22"/>
              </w:rPr>
              <w:t xml:space="preserve"> гофрованої</w:t>
            </w:r>
            <w:r w:rsidRPr="00603D58">
              <w:rPr>
                <w:color w:val="000000"/>
                <w:sz w:val="22"/>
                <w:szCs w:val="22"/>
              </w:rPr>
              <w:t xml:space="preserve"> Dn-250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13</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Коліно 90град. для з`єдн. труби каналіз.</w:t>
            </w:r>
            <w:r>
              <w:rPr>
                <w:color w:val="000000"/>
                <w:sz w:val="22"/>
                <w:szCs w:val="22"/>
              </w:rPr>
              <w:t xml:space="preserve"> гофрованої</w:t>
            </w:r>
            <w:r w:rsidRPr="00603D58">
              <w:rPr>
                <w:color w:val="000000"/>
                <w:sz w:val="22"/>
                <w:szCs w:val="22"/>
              </w:rPr>
              <w:t xml:space="preserve"> Dn-110 </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5</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14</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Коліно 90град. для з`єдн. труби каналіз.</w:t>
            </w:r>
            <w:r>
              <w:rPr>
                <w:color w:val="000000"/>
                <w:sz w:val="22"/>
                <w:szCs w:val="22"/>
              </w:rPr>
              <w:t xml:space="preserve"> гофрованої</w:t>
            </w:r>
            <w:r w:rsidRPr="00603D58">
              <w:rPr>
                <w:color w:val="000000"/>
                <w:sz w:val="22"/>
                <w:szCs w:val="22"/>
              </w:rPr>
              <w:t xml:space="preserve"> Dn-160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5</w:t>
            </w:r>
          </w:p>
        </w:tc>
      </w:tr>
      <w:tr w:rsidR="00E225E0" w:rsidRPr="00603D58" w:rsidTr="003A6F6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15</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Коліно 90град. для з`єдн. труби каналіз.</w:t>
            </w:r>
            <w:r>
              <w:rPr>
                <w:color w:val="000000"/>
                <w:sz w:val="22"/>
                <w:szCs w:val="22"/>
              </w:rPr>
              <w:t xml:space="preserve"> гофрованої</w:t>
            </w:r>
            <w:r w:rsidRPr="00603D58">
              <w:rPr>
                <w:color w:val="000000"/>
                <w:sz w:val="22"/>
                <w:szCs w:val="22"/>
              </w:rPr>
              <w:t xml:space="preserve"> Dn-200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16</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Коліно 90град. для з`єдн. труби каналіз.</w:t>
            </w:r>
            <w:r>
              <w:rPr>
                <w:color w:val="000000"/>
                <w:sz w:val="22"/>
                <w:szCs w:val="22"/>
              </w:rPr>
              <w:t xml:space="preserve"> гофрованої</w:t>
            </w:r>
            <w:r w:rsidRPr="00603D58">
              <w:rPr>
                <w:color w:val="000000"/>
                <w:sz w:val="22"/>
                <w:szCs w:val="22"/>
              </w:rPr>
              <w:t xml:space="preserve"> Dn-250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17</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Трійник для з`єдн. труби каналіз.</w:t>
            </w:r>
            <w:r>
              <w:rPr>
                <w:color w:val="000000"/>
                <w:sz w:val="22"/>
                <w:szCs w:val="22"/>
              </w:rPr>
              <w:t xml:space="preserve"> гофрованої</w:t>
            </w:r>
            <w:r w:rsidRPr="00603D58">
              <w:rPr>
                <w:color w:val="000000"/>
                <w:sz w:val="22"/>
                <w:szCs w:val="22"/>
              </w:rPr>
              <w:t xml:space="preserve"> Dn-110 </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18</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Трійник для з`єдн. труби каналіз.</w:t>
            </w:r>
            <w:r>
              <w:rPr>
                <w:color w:val="000000"/>
                <w:sz w:val="22"/>
                <w:szCs w:val="22"/>
              </w:rPr>
              <w:t xml:space="preserve"> гофрованої</w:t>
            </w:r>
            <w:r w:rsidRPr="00603D58">
              <w:rPr>
                <w:color w:val="000000"/>
                <w:sz w:val="22"/>
                <w:szCs w:val="22"/>
              </w:rPr>
              <w:t xml:space="preserve"> Dn-160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sz w:val="22"/>
                <w:szCs w:val="22"/>
              </w:rPr>
            </w:pPr>
            <w:r w:rsidRPr="00603D58">
              <w:rPr>
                <w:color w:val="000000"/>
                <w:sz w:val="22"/>
                <w:szCs w:val="22"/>
              </w:rPr>
              <w:t>19</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Трійник для з`єдн. труби каналіз.</w:t>
            </w:r>
            <w:r>
              <w:rPr>
                <w:color w:val="000000"/>
                <w:sz w:val="22"/>
                <w:szCs w:val="22"/>
              </w:rPr>
              <w:t xml:space="preserve"> гофрованої</w:t>
            </w:r>
            <w:r w:rsidRPr="00603D58">
              <w:rPr>
                <w:color w:val="000000"/>
                <w:sz w:val="22"/>
                <w:szCs w:val="22"/>
              </w:rPr>
              <w:t xml:space="preserve"> Dn-200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r w:rsidR="00E225E0" w:rsidRPr="00603D58" w:rsidTr="003A6F68">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225E0" w:rsidRPr="00603D58" w:rsidRDefault="00E225E0" w:rsidP="003A6F68">
            <w:pPr>
              <w:jc w:val="center"/>
              <w:rPr>
                <w:color w:val="000000"/>
              </w:rPr>
            </w:pPr>
            <w:r w:rsidRPr="00603D58">
              <w:rPr>
                <w:color w:val="000000"/>
              </w:rPr>
              <w:t>20</w:t>
            </w:r>
          </w:p>
        </w:tc>
        <w:tc>
          <w:tcPr>
            <w:tcW w:w="6940" w:type="dxa"/>
            <w:tcBorders>
              <w:top w:val="nil"/>
              <w:left w:val="nil"/>
              <w:bottom w:val="single" w:sz="4" w:space="0" w:color="auto"/>
              <w:right w:val="single" w:sz="4" w:space="0" w:color="auto"/>
            </w:tcBorders>
            <w:shd w:val="clear" w:color="auto" w:fill="auto"/>
            <w:hideMark/>
          </w:tcPr>
          <w:p w:rsidR="00E225E0" w:rsidRPr="00603D58" w:rsidRDefault="00E225E0" w:rsidP="003A6F68">
            <w:pPr>
              <w:rPr>
                <w:color w:val="000000"/>
                <w:sz w:val="22"/>
                <w:szCs w:val="22"/>
              </w:rPr>
            </w:pPr>
            <w:r w:rsidRPr="00603D58">
              <w:rPr>
                <w:color w:val="000000"/>
                <w:sz w:val="22"/>
                <w:szCs w:val="22"/>
              </w:rPr>
              <w:t>Трійник для з`єдн. труби каналіз.</w:t>
            </w:r>
            <w:r>
              <w:rPr>
                <w:color w:val="000000"/>
                <w:sz w:val="22"/>
                <w:szCs w:val="22"/>
              </w:rPr>
              <w:t xml:space="preserve"> гофрованої</w:t>
            </w:r>
            <w:r w:rsidRPr="00603D58">
              <w:rPr>
                <w:color w:val="000000"/>
                <w:sz w:val="22"/>
                <w:szCs w:val="22"/>
              </w:rPr>
              <w:t xml:space="preserve"> Dn-250</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шт</w:t>
            </w:r>
          </w:p>
        </w:tc>
        <w:tc>
          <w:tcPr>
            <w:tcW w:w="960" w:type="dxa"/>
            <w:tcBorders>
              <w:top w:val="nil"/>
              <w:left w:val="nil"/>
              <w:bottom w:val="single" w:sz="4" w:space="0" w:color="auto"/>
              <w:right w:val="single" w:sz="4" w:space="0" w:color="auto"/>
            </w:tcBorders>
            <w:shd w:val="clear" w:color="auto" w:fill="auto"/>
            <w:noWrap/>
            <w:vAlign w:val="bottom"/>
            <w:hideMark/>
          </w:tcPr>
          <w:p w:rsidR="00E225E0" w:rsidRPr="00603D58" w:rsidRDefault="00E225E0" w:rsidP="003A6F68">
            <w:pPr>
              <w:jc w:val="center"/>
              <w:rPr>
                <w:rFonts w:ascii="Calibri" w:hAnsi="Calibri"/>
                <w:color w:val="000000"/>
                <w:sz w:val="22"/>
                <w:szCs w:val="22"/>
              </w:rPr>
            </w:pPr>
            <w:r w:rsidRPr="00603D58">
              <w:rPr>
                <w:rFonts w:ascii="Calibri" w:hAnsi="Calibri"/>
                <w:color w:val="000000"/>
                <w:sz w:val="22"/>
                <w:szCs w:val="22"/>
              </w:rPr>
              <w:t>2</w:t>
            </w:r>
          </w:p>
        </w:tc>
      </w:tr>
    </w:tbl>
    <w:p w:rsidR="00E225E0" w:rsidRPr="00603D58" w:rsidRDefault="00E225E0" w:rsidP="00E225E0">
      <w:pPr>
        <w:rPr>
          <w:b/>
          <w:sz w:val="32"/>
          <w:szCs w:val="32"/>
        </w:rPr>
      </w:pPr>
    </w:p>
    <w:p w:rsidR="00E225E0" w:rsidRDefault="00E225E0" w:rsidP="00E225E0">
      <w:pPr>
        <w:pStyle w:val="1fff"/>
        <w:shd w:val="clear" w:color="auto" w:fill="FFFFFF"/>
        <w:spacing w:line="240" w:lineRule="auto"/>
        <w:rPr>
          <w:rFonts w:eastAsia="Times New Roman"/>
          <w:b/>
          <w:bCs/>
          <w:color w:val="000000"/>
          <w:sz w:val="19"/>
          <w:lang w:eastAsia="uk-UA"/>
        </w:rPr>
      </w:pPr>
    </w:p>
    <w:p w:rsidR="00E225E0" w:rsidRDefault="00E225E0" w:rsidP="00E225E0">
      <w:pPr>
        <w:pStyle w:val="1fff"/>
        <w:shd w:val="clear" w:color="auto" w:fill="FFFFFF"/>
        <w:spacing w:line="240" w:lineRule="auto"/>
        <w:rPr>
          <w:rFonts w:eastAsia="Times New Roman"/>
          <w:b/>
          <w:bCs/>
          <w:color w:val="000000"/>
          <w:sz w:val="19"/>
          <w:lang w:eastAsia="uk-UA"/>
        </w:rPr>
      </w:pPr>
    </w:p>
    <w:p w:rsidR="00E225E0" w:rsidRPr="00A27928" w:rsidRDefault="00E225E0" w:rsidP="00E225E0">
      <w:pPr>
        <w:pStyle w:val="1fff"/>
        <w:widowControl/>
        <w:numPr>
          <w:ilvl w:val="0"/>
          <w:numId w:val="35"/>
        </w:numPr>
        <w:shd w:val="clear" w:color="auto" w:fill="FFFFFF"/>
        <w:suppressAutoHyphens w:val="0"/>
        <w:spacing w:line="240" w:lineRule="auto"/>
        <w:contextualSpacing/>
        <w:rPr>
          <w:rFonts w:ascii="Times New Roman" w:eastAsia="Times New Roman" w:hAnsi="Times New Roman"/>
          <w:b/>
          <w:bCs/>
          <w:sz w:val="24"/>
          <w:szCs w:val="24"/>
          <w:lang w:eastAsia="uk-UA"/>
        </w:rPr>
      </w:pPr>
      <w:r w:rsidRPr="00A27928">
        <w:rPr>
          <w:rFonts w:ascii="Times New Roman" w:eastAsia="Times New Roman" w:hAnsi="Times New Roman"/>
          <w:b/>
          <w:bCs/>
          <w:sz w:val="24"/>
          <w:szCs w:val="24"/>
          <w:lang w:eastAsia="uk-UA"/>
        </w:rPr>
        <w:t>Двошарові гофровані </w:t>
      </w:r>
      <w:hyperlink r:id="rId57" w:history="1">
        <w:r w:rsidRPr="00A27928">
          <w:rPr>
            <w:rFonts w:ascii="Times New Roman" w:eastAsia="Times New Roman" w:hAnsi="Times New Roman"/>
            <w:b/>
            <w:bCs/>
            <w:sz w:val="24"/>
            <w:szCs w:val="24"/>
            <w:lang w:eastAsia="uk-UA"/>
          </w:rPr>
          <w:t>каналізаційні труби</w:t>
        </w:r>
      </w:hyperlink>
      <w:r w:rsidRPr="00A27928">
        <w:rPr>
          <w:rFonts w:ascii="Times New Roman" w:eastAsia="Times New Roman" w:hAnsi="Times New Roman"/>
          <w:b/>
          <w:bCs/>
          <w:sz w:val="24"/>
          <w:szCs w:val="24"/>
          <w:lang w:eastAsia="uk-UA"/>
        </w:rPr>
        <w:t> </w:t>
      </w:r>
      <w:r>
        <w:rPr>
          <w:rFonts w:ascii="Times New Roman" w:eastAsia="Times New Roman" w:hAnsi="Times New Roman"/>
          <w:b/>
          <w:bCs/>
          <w:sz w:val="24"/>
          <w:szCs w:val="24"/>
          <w:lang w:eastAsia="uk-UA"/>
        </w:rPr>
        <w:t>з полімерних матеріалів</w:t>
      </w:r>
    </w:p>
    <w:p w:rsidR="00E225E0" w:rsidRDefault="00E225E0" w:rsidP="00E225E0">
      <w:pPr>
        <w:pStyle w:val="1fff"/>
        <w:shd w:val="clear" w:color="auto" w:fill="FFFFFF"/>
        <w:spacing w:line="240" w:lineRule="auto"/>
        <w:rPr>
          <w:rFonts w:eastAsia="Times New Roman"/>
          <w:b/>
          <w:bCs/>
          <w:color w:val="000000"/>
          <w:sz w:val="19"/>
          <w:lang w:eastAsia="uk-UA"/>
        </w:rPr>
      </w:pPr>
    </w:p>
    <w:p w:rsidR="00E225E0" w:rsidRPr="00A27928" w:rsidRDefault="00E225E0" w:rsidP="00E225E0">
      <w:pPr>
        <w:shd w:val="clear" w:color="auto" w:fill="FFFFFF"/>
        <w:ind w:firstLine="284"/>
        <w:rPr>
          <w:color w:val="000000"/>
        </w:rPr>
      </w:pPr>
      <w:r w:rsidRPr="00A27928">
        <w:rPr>
          <w:bCs/>
        </w:rPr>
        <w:t>Двошарові гофровані </w:t>
      </w:r>
      <w:hyperlink r:id="rId58" w:history="1">
        <w:r w:rsidRPr="00A27928">
          <w:rPr>
            <w:bCs/>
          </w:rPr>
          <w:t>каналізаційні труби</w:t>
        </w:r>
      </w:hyperlink>
      <w:r w:rsidRPr="00A27928">
        <w:rPr>
          <w:bCs/>
        </w:rPr>
        <w:t> </w:t>
      </w:r>
      <w:r>
        <w:rPr>
          <w:bCs/>
        </w:rPr>
        <w:t xml:space="preserve"> </w:t>
      </w:r>
      <w:r w:rsidRPr="00A27928">
        <w:rPr>
          <w:color w:val="000000"/>
        </w:rPr>
        <w:t xml:space="preserve">повинні бути призначені для використання у зовнішніх безнапірних каналізаційних мережах із можливістю застосовувати для відведення господарсько-побутових стоків з температурою від 0 до 20 °С. </w:t>
      </w:r>
    </w:p>
    <w:p w:rsidR="00E225E0" w:rsidRPr="00A27928" w:rsidRDefault="00E225E0" w:rsidP="00E225E0">
      <w:pPr>
        <w:shd w:val="clear" w:color="auto" w:fill="FFFFFF"/>
        <w:ind w:firstLine="284"/>
        <w:rPr>
          <w:b/>
        </w:rPr>
      </w:pPr>
      <w:r>
        <w:rPr>
          <w:color w:val="000000"/>
        </w:rPr>
        <w:t>П</w:t>
      </w:r>
      <w:r w:rsidRPr="000F6F49">
        <w:rPr>
          <w:color w:val="000000"/>
        </w:rPr>
        <w:t>овинні відповідати</w:t>
      </w:r>
      <w:r w:rsidRPr="00DB23A6">
        <w:t> </w:t>
      </w:r>
      <w:r w:rsidRPr="000F6F49">
        <w:t>ДСТУ Б В.2.5–32:2007</w:t>
      </w:r>
      <w:r>
        <w:t>,</w:t>
      </w:r>
      <w:r w:rsidRPr="00DB23A6">
        <w:t> </w:t>
      </w:r>
      <w:r w:rsidRPr="000F6F49">
        <w:rPr>
          <w:color w:val="000000"/>
        </w:rPr>
        <w:t xml:space="preserve"> мати номінальну кільцеву жорсткість </w:t>
      </w:r>
      <w:r w:rsidRPr="000F6F49">
        <w:rPr>
          <w:color w:val="000000"/>
          <w:lang w:val="en-US"/>
        </w:rPr>
        <w:t>SN</w:t>
      </w:r>
      <w:r w:rsidRPr="000F6F49">
        <w:rPr>
          <w:color w:val="000000"/>
        </w:rPr>
        <w:t>8</w:t>
      </w:r>
      <w:r>
        <w:rPr>
          <w:color w:val="000000"/>
        </w:rPr>
        <w:t>. Д</w:t>
      </w:r>
      <w:r w:rsidRPr="00A27928">
        <w:rPr>
          <w:color w:val="000000"/>
        </w:rPr>
        <w:t>овжина  прямих відрізків</w:t>
      </w:r>
      <w:r>
        <w:rPr>
          <w:color w:val="000000"/>
        </w:rPr>
        <w:t xml:space="preserve"> - 6</w:t>
      </w:r>
      <w:r w:rsidRPr="00A27928">
        <w:rPr>
          <w:color w:val="000000"/>
        </w:rPr>
        <w:t xml:space="preserve"> м. </w:t>
      </w:r>
    </w:p>
    <w:p w:rsidR="00E225E0" w:rsidRPr="0047593B" w:rsidRDefault="00E225E0" w:rsidP="00E225E0">
      <w:pPr>
        <w:shd w:val="clear" w:color="auto" w:fill="FFFFFF"/>
        <w:ind w:firstLine="284"/>
        <w:rPr>
          <w:color w:val="000000"/>
        </w:rPr>
      </w:pPr>
      <w:r w:rsidRPr="0047593B">
        <w:rPr>
          <w:i/>
          <w:shd w:val="clear" w:color="auto" w:fill="FFFFFF"/>
        </w:rPr>
        <w:t>Комплект штанги труби (6м) повинен бути укомплектований  двохрозтрубною муфтою і двома ущільнюючими кільцями.</w:t>
      </w:r>
      <w:r w:rsidRPr="0047593B">
        <w:rPr>
          <w:color w:val="000000"/>
        </w:rPr>
        <w:t xml:space="preserve">  </w:t>
      </w:r>
    </w:p>
    <w:p w:rsidR="00E225E0" w:rsidRDefault="00E225E0" w:rsidP="00E225E0">
      <w:pPr>
        <w:shd w:val="clear" w:color="auto" w:fill="FFFFFF"/>
        <w:ind w:firstLine="284"/>
      </w:pPr>
      <w:r>
        <w:rPr>
          <w:color w:val="000000"/>
        </w:rPr>
        <w:t>Тип з</w:t>
      </w:r>
      <w:r w:rsidRPr="000F6F49">
        <w:rPr>
          <w:color w:val="000000"/>
        </w:rPr>
        <w:t>’єдн</w:t>
      </w:r>
      <w:r>
        <w:rPr>
          <w:color w:val="000000"/>
        </w:rPr>
        <w:t>ання</w:t>
      </w:r>
      <w:r w:rsidRPr="000F6F49">
        <w:rPr>
          <w:color w:val="000000"/>
        </w:rPr>
        <w:t xml:space="preserve"> врозтруб з використанням фасонних виробів з номінальною кільцевою жорсткістю </w:t>
      </w:r>
      <w:r w:rsidRPr="000F6F49">
        <w:rPr>
          <w:color w:val="000000"/>
          <w:lang w:val="en-US"/>
        </w:rPr>
        <w:t>SN</w:t>
      </w:r>
      <w:r w:rsidRPr="000F6F49">
        <w:rPr>
          <w:color w:val="000000"/>
        </w:rPr>
        <w:t>, що не менша за номінальну кільцеву жорсткість труб</w:t>
      </w:r>
    </w:p>
    <w:p w:rsidR="00E225E0" w:rsidRDefault="00E225E0" w:rsidP="00E225E0">
      <w:pPr>
        <w:widowControl w:val="0"/>
        <w:rPr>
          <w:bCs/>
          <w:snapToGrid w:val="0"/>
          <w:lang w:eastAsia="ru-RU"/>
        </w:rPr>
      </w:pPr>
    </w:p>
    <w:p w:rsidR="00E225E0" w:rsidRPr="00E225E0" w:rsidRDefault="00E225E0" w:rsidP="00E225E0">
      <w:pPr>
        <w:widowControl w:val="0"/>
        <w:ind w:left="318" w:firstLine="425"/>
        <w:jc w:val="right"/>
        <w:rPr>
          <w:bCs/>
          <w:snapToGrid w:val="0"/>
          <w:lang w:eastAsia="ru-RU"/>
        </w:rPr>
      </w:pPr>
    </w:p>
    <w:p w:rsidR="00723D47" w:rsidRPr="000F537E" w:rsidRDefault="000F537E" w:rsidP="007F07A7">
      <w:pPr>
        <w:tabs>
          <w:tab w:val="left" w:pos="6521"/>
        </w:tabs>
        <w:ind w:right="-25"/>
        <w:jc w:val="left"/>
        <w:sectPr w:rsidR="00723D47" w:rsidRPr="000F537E" w:rsidSect="00BC4CA3">
          <w:footerReference w:type="default" r:id="rId59"/>
          <w:pgSz w:w="11906" w:h="16838" w:code="9"/>
          <w:pgMar w:top="709" w:right="680" w:bottom="851" w:left="1134" w:header="1" w:footer="284" w:gutter="0"/>
          <w:cols w:space="708"/>
          <w:titlePg/>
          <w:docGrid w:linePitch="360"/>
        </w:sectPr>
      </w:pPr>
      <w:r>
        <w:rPr>
          <w:b/>
          <w:color w:val="000000"/>
          <w:sz w:val="28"/>
          <w:szCs w:val="28"/>
          <w:u w:val="single"/>
        </w:rPr>
        <w:t>У складі пропозиції надати документи, які підтверджують якість товару/ продукції.</w:t>
      </w:r>
    </w:p>
    <w:p w:rsidR="00774D46" w:rsidRPr="0022737F" w:rsidRDefault="00774D46" w:rsidP="00CA383F">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3.2. 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до 30 (тридцяти) календарних днів з моменту отримання Товару.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протягом </w:t>
      </w:r>
      <w:r w:rsidRPr="00147389">
        <w:rPr>
          <w:color w:val="121212"/>
          <w:u w:val="single"/>
        </w:rPr>
        <w:t>5 (п’яти) робочих днів з дня замовлення</w:t>
      </w:r>
      <w:r w:rsidRPr="00630130">
        <w:rPr>
          <w:shd w:val="clear" w:color="auto" w:fill="FFFFFF"/>
        </w:rPr>
        <w:t xml:space="preserve">. Замовленням вважається </w:t>
      </w:r>
      <w:r w:rsidRPr="00630130">
        <w:rPr>
          <w:shd w:val="clear" w:color="auto" w:fill="FFFFFF"/>
        </w:rPr>
        <w:lastRenderedPageBreak/>
        <w:t>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Pr="00147389">
        <w:rPr>
          <w:color w:val="121212"/>
        </w:rPr>
        <w:t>ям платежу не більше 30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 xml:space="preserve">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w:t>
      </w:r>
      <w:r w:rsidRPr="00147389">
        <w:lastRenderedPageBreak/>
        <w:t>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w:t>
      </w:r>
      <w:r w:rsidRPr="00147389">
        <w:rPr>
          <w:rFonts w:ascii="Times New Roman" w:hAnsi="Times New Roman"/>
        </w:rPr>
        <w:lastRenderedPageBreak/>
        <w:t>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lastRenderedPageBreak/>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 xml:space="preserve">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w:t>
      </w:r>
      <w:r w:rsidRPr="00A11892">
        <w:lastRenderedPageBreak/>
        <w:t>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t>8) зміни умов у зв’язку із застосуванням положень </w:t>
      </w:r>
      <w:hyperlink r:id="rId60"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Кількість (шт)</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13487" w:rsidP="00F56046">
            <w:pPr>
              <w:jc w:val="center"/>
            </w:pPr>
            <w: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Default="00F56046" w:rsidP="00F13487">
            <w:pPr>
              <w:pStyle w:val="10"/>
              <w:spacing w:line="337" w:lineRule="atLeast"/>
              <w:ind w:left="94" w:right="94"/>
              <w:jc w:val="left"/>
              <w:textAlignment w:val="baseline"/>
              <w:rPr>
                <w:color w:val="000000"/>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F56046" w:rsidP="00A11892">
            <w:pPr>
              <w:jc w:val="center"/>
              <w:rPr>
                <w:color w:val="000000"/>
              </w:rPr>
            </w:pP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61"/>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6C" w:rsidRDefault="0048376C">
      <w:r>
        <w:separator/>
      </w:r>
    </w:p>
  </w:endnote>
  <w:endnote w:type="continuationSeparator" w:id="1">
    <w:p w:rsidR="0048376C" w:rsidRDefault="00483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AE6BDC" w:rsidRDefault="00AE6BDC">
        <w:pPr>
          <w:pStyle w:val="afd"/>
          <w:jc w:val="right"/>
        </w:pPr>
        <w:r w:rsidRPr="000F0F72">
          <w:fldChar w:fldCharType="begin"/>
        </w:r>
        <w:r>
          <w:instrText>PAGE   \* MERGEFORMAT</w:instrText>
        </w:r>
        <w:r w:rsidRPr="000F0F72">
          <w:fldChar w:fldCharType="separate"/>
        </w:r>
        <w:r w:rsidR="0027012E" w:rsidRPr="0027012E">
          <w:rPr>
            <w:noProof/>
            <w:lang w:val="ru-RU"/>
          </w:rPr>
          <w:t>30</w:t>
        </w:r>
        <w:r>
          <w:rPr>
            <w:noProof/>
            <w:lang w:val="ru-RU"/>
          </w:rPr>
          <w:fldChar w:fldCharType="end"/>
        </w:r>
      </w:p>
    </w:sdtContent>
  </w:sdt>
  <w:p w:rsidR="00AE6BDC" w:rsidRDefault="00AE6BDC">
    <w:pPr>
      <w:pStyle w:val="afd"/>
    </w:pPr>
  </w:p>
  <w:p w:rsidR="00AE6BDC" w:rsidRDefault="00AE6B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6C" w:rsidRDefault="0048376C">
      <w:r>
        <w:separator/>
      </w:r>
    </w:p>
  </w:footnote>
  <w:footnote w:type="continuationSeparator" w:id="1">
    <w:p w:rsidR="0048376C" w:rsidRDefault="00483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C" w:rsidRDefault="00AE6BDC"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E6BDC" w:rsidRDefault="00AE6BD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C" w:rsidRDefault="00AE6BDC"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E6BDC" w:rsidRDefault="00AE6BDC">
    <w:pPr>
      <w:pStyle w:val="af4"/>
    </w:pPr>
  </w:p>
  <w:p w:rsidR="00AE6BDC" w:rsidRDefault="00AE6B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C" w:rsidRDefault="00AE6B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C" w:rsidRDefault="00AE6BDC"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E6BDC" w:rsidRDefault="00AE6BD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5">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7">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8">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2"/>
  </w:num>
  <w:num w:numId="2">
    <w:abstractNumId w:val="14"/>
  </w:num>
  <w:num w:numId="3">
    <w:abstractNumId w:val="26"/>
  </w:num>
  <w:num w:numId="4">
    <w:abstractNumId w:val="34"/>
  </w:num>
  <w:num w:numId="5">
    <w:abstractNumId w:val="10"/>
  </w:num>
  <w:num w:numId="6">
    <w:abstractNumId w:val="24"/>
  </w:num>
  <w:num w:numId="7">
    <w:abstractNumId w:val="22"/>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9"/>
  </w:num>
  <w:num w:numId="11">
    <w:abstractNumId w:val="9"/>
  </w:num>
  <w:num w:numId="12">
    <w:abstractNumId w:val="27"/>
  </w:num>
  <w:num w:numId="13">
    <w:abstractNumId w:val="28"/>
  </w:num>
  <w:num w:numId="14">
    <w:abstractNumId w:val="17"/>
  </w:num>
  <w:num w:numId="15">
    <w:abstractNumId w:val="13"/>
  </w:num>
  <w:num w:numId="16">
    <w:abstractNumId w:val="37"/>
  </w:num>
  <w:num w:numId="17">
    <w:abstractNumId w:val="35"/>
  </w:num>
  <w:num w:numId="18">
    <w:abstractNumId w:val="38"/>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15"/>
  </w:num>
  <w:num w:numId="25">
    <w:abstractNumId w:val="20"/>
  </w:num>
  <w:num w:numId="26">
    <w:abstractNumId w:val="6"/>
  </w:num>
  <w:num w:numId="27">
    <w:abstractNumId w:val="7"/>
  </w:num>
  <w:num w:numId="28">
    <w:abstractNumId w:val="11"/>
  </w:num>
  <w:num w:numId="29">
    <w:abstractNumId w:val="18"/>
  </w:num>
  <w:num w:numId="30">
    <w:abstractNumId w:val="8"/>
  </w:num>
  <w:num w:numId="31">
    <w:abstractNumId w:val="12"/>
  </w:num>
  <w:num w:numId="32">
    <w:abstractNumId w:val="33"/>
  </w:num>
  <w:num w:numId="33">
    <w:abstractNumId w:val="16"/>
  </w:num>
  <w:num w:numId="34">
    <w:abstractNumId w:val="31"/>
  </w:num>
  <w:num w:numId="35">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2B9"/>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0F72"/>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12E"/>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6F48"/>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810"/>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93B"/>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76C"/>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3D5C"/>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E6BDC"/>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282"/>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5E0"/>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polyplastic.ua/production/pipes-for-sewages"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polyplastic.ua/production/pipes-for-sewages" TargetMode="External"/><Relationship Id="rId61" Type="http://schemas.openxmlformats.org/officeDocument/2006/relationships/header" Target="header4.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37</Pages>
  <Words>59048</Words>
  <Characters>33658</Characters>
  <Application>Microsoft Office Word</Application>
  <DocSecurity>0</DocSecurity>
  <Lines>280</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92521</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114</cp:revision>
  <cp:lastPrinted>2024-01-02T09:16:00Z</cp:lastPrinted>
  <dcterms:created xsi:type="dcterms:W3CDTF">2023-11-15T06:45:00Z</dcterms:created>
  <dcterms:modified xsi:type="dcterms:W3CDTF">2024-01-03T13:04:00Z</dcterms:modified>
</cp:coreProperties>
</file>