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7" w:rsidRPr="00242C2C" w:rsidRDefault="00077F67" w:rsidP="00077F67">
      <w:pPr>
        <w:tabs>
          <w:tab w:val="left" w:pos="6660"/>
        </w:tabs>
        <w:ind w:right="-25" w:firstLine="7583"/>
        <w:rPr>
          <w:b/>
          <w:color w:val="000000"/>
          <w:sz w:val="24"/>
          <w:szCs w:val="24"/>
        </w:rPr>
      </w:pPr>
      <w:r w:rsidRPr="00242C2C">
        <w:rPr>
          <w:b/>
          <w:color w:val="000000"/>
          <w:sz w:val="24"/>
          <w:szCs w:val="24"/>
        </w:rPr>
        <w:t>Додаток</w:t>
      </w:r>
      <w:r>
        <w:rPr>
          <w:b/>
          <w:color w:val="000000"/>
          <w:sz w:val="24"/>
          <w:szCs w:val="24"/>
        </w:rPr>
        <w:t xml:space="preserve"> 3</w:t>
      </w:r>
    </w:p>
    <w:p w:rsidR="00077F67" w:rsidRDefault="00077F67" w:rsidP="00077F67">
      <w:pPr>
        <w:tabs>
          <w:tab w:val="left" w:pos="6660"/>
        </w:tabs>
        <w:ind w:left="5664" w:right="-25"/>
        <w:jc w:val="right"/>
        <w:rPr>
          <w:b/>
          <w:color w:val="000000"/>
          <w:sz w:val="24"/>
          <w:szCs w:val="24"/>
        </w:rPr>
      </w:pPr>
      <w:r w:rsidRPr="00242C2C">
        <w:rPr>
          <w:b/>
          <w:color w:val="000000"/>
          <w:sz w:val="24"/>
          <w:szCs w:val="24"/>
        </w:rPr>
        <w:t xml:space="preserve">   до тендерної документації</w:t>
      </w:r>
    </w:p>
    <w:p w:rsidR="00DD74A8" w:rsidRDefault="00DD74A8" w:rsidP="00DD74A8">
      <w:pPr>
        <w:shd w:val="clear" w:color="auto" w:fill="FFFFFF"/>
        <w:ind w:right="196"/>
        <w:rPr>
          <w:i/>
        </w:rPr>
      </w:pPr>
    </w:p>
    <w:p w:rsidR="003D24ED" w:rsidRPr="00F751CA" w:rsidRDefault="003D24ED" w:rsidP="003D24ED">
      <w:pPr>
        <w:shd w:val="clear" w:color="auto" w:fill="FFFFFF"/>
        <w:ind w:right="196"/>
        <w:rPr>
          <w:i/>
          <w:iCs/>
        </w:rPr>
      </w:pPr>
      <w:r w:rsidRPr="00F751CA">
        <w:rPr>
          <w:i/>
        </w:rPr>
        <w:t>Форма пропозиції, яка подається Учасником на фірмовому бланку (за наявності).</w:t>
      </w:r>
    </w:p>
    <w:p w:rsidR="003D24ED" w:rsidRDefault="003D24ED" w:rsidP="003D24ED">
      <w:pPr>
        <w:shd w:val="clear" w:color="auto" w:fill="FFFFFF"/>
        <w:ind w:right="196"/>
        <w:rPr>
          <w:i/>
          <w:iCs/>
        </w:rPr>
      </w:pPr>
      <w:r w:rsidRPr="00F751CA">
        <w:rPr>
          <w:i/>
          <w:iCs/>
        </w:rPr>
        <w:t>Учасник не повинен відступати від даної форми.</w:t>
      </w:r>
    </w:p>
    <w:p w:rsidR="00060631" w:rsidRPr="00F751CA" w:rsidRDefault="00060631" w:rsidP="003D24ED">
      <w:pPr>
        <w:shd w:val="clear" w:color="auto" w:fill="FFFFFF"/>
        <w:ind w:right="196"/>
      </w:pPr>
    </w:p>
    <w:p w:rsidR="003D24ED" w:rsidRPr="00F751CA" w:rsidRDefault="003D24ED" w:rsidP="003D24ED">
      <w:pPr>
        <w:pStyle w:val="1"/>
        <w:spacing w:before="0" w:after="0"/>
        <w:ind w:left="432" w:hanging="432"/>
        <w:jc w:val="center"/>
        <w:rPr>
          <w:rFonts w:ascii="Times New Roman" w:hAnsi="Times New Roman" w:cs="Times New Roman"/>
          <w:shd w:val="clear" w:color="auto" w:fill="FFFFFF"/>
        </w:rPr>
      </w:pPr>
      <w:r w:rsidRPr="00F751CA">
        <w:rPr>
          <w:rFonts w:ascii="Times New Roman" w:hAnsi="Times New Roman" w:cs="Times New Roman"/>
          <w:sz w:val="24"/>
          <w:szCs w:val="24"/>
        </w:rPr>
        <w:t>Ф</w:t>
      </w:r>
      <w:r w:rsidRPr="00F751CA">
        <w:rPr>
          <w:rFonts w:ascii="Times New Roman" w:hAnsi="Times New Roman" w:cs="Times New Roman"/>
          <w:caps/>
          <w:sz w:val="24"/>
          <w:szCs w:val="24"/>
        </w:rPr>
        <w:t>орма ЦІНОВОЇ пропозиції*</w:t>
      </w:r>
    </w:p>
    <w:p w:rsidR="003D24ED" w:rsidRPr="00D879EF" w:rsidRDefault="003D24ED" w:rsidP="00C32298">
      <w:pPr>
        <w:jc w:val="both"/>
        <w:rPr>
          <w:b/>
          <w:color w:val="000000"/>
          <w:sz w:val="24"/>
          <w:szCs w:val="24"/>
        </w:rPr>
      </w:pPr>
      <w:r w:rsidRPr="00D879EF">
        <w:rPr>
          <w:b/>
          <w:shd w:val="clear" w:color="auto" w:fill="FFFFFF"/>
        </w:rPr>
        <w:t>________________(</w:t>
      </w:r>
      <w:r w:rsidRPr="00D879EF">
        <w:rPr>
          <w:b/>
          <w:sz w:val="24"/>
          <w:szCs w:val="24"/>
          <w:shd w:val="clear" w:color="auto" w:fill="FFFFFF"/>
        </w:rPr>
        <w:t>назва підприємства/фізичної особи), надає свою пропозицію щодо участі у</w:t>
      </w:r>
      <w:r w:rsidRPr="00D879EF">
        <w:rPr>
          <w:b/>
          <w:sz w:val="24"/>
          <w:szCs w:val="24"/>
        </w:rPr>
        <w:t xml:space="preserve"> закупівлі: </w:t>
      </w:r>
      <w:r w:rsidR="00C32298" w:rsidRPr="00D879EF">
        <w:rPr>
          <w:b/>
          <w:sz w:val="24"/>
          <w:szCs w:val="24"/>
        </w:rPr>
        <w:t xml:space="preserve">Підключення, налаштування і обслуговування «Віртуальної АТС» та телефонного номеру «0800» з безкоштовними вхідними дзвінками з усіх операторів мобільного та фіксованого зв’язку України </w:t>
      </w:r>
      <w:r w:rsidR="00C32298" w:rsidRPr="00D879EF">
        <w:rPr>
          <w:sz w:val="24"/>
          <w:szCs w:val="24"/>
        </w:rPr>
        <w:t xml:space="preserve">(Код </w:t>
      </w:r>
      <w:proofErr w:type="spellStart"/>
      <w:r w:rsidR="00C32298" w:rsidRPr="00D879EF">
        <w:rPr>
          <w:sz w:val="24"/>
          <w:szCs w:val="24"/>
        </w:rPr>
        <w:t>ДК</w:t>
      </w:r>
      <w:proofErr w:type="spellEnd"/>
      <w:r w:rsidR="00C32298" w:rsidRPr="00D879EF">
        <w:rPr>
          <w:sz w:val="24"/>
          <w:szCs w:val="24"/>
        </w:rPr>
        <w:t xml:space="preserve"> 021:2015(СРV) 64210000-1 Послуги телефонного зв’язку та передачі даних</w:t>
      </w:r>
      <w:r w:rsidR="00AB3BE1" w:rsidRPr="00D879EF">
        <w:rPr>
          <w:sz w:val="24"/>
          <w:szCs w:val="24"/>
        </w:rPr>
        <w:t>)</w:t>
      </w:r>
    </w:p>
    <w:p w:rsidR="003D24ED" w:rsidRPr="00D879EF" w:rsidRDefault="003D24ED" w:rsidP="003D24ED">
      <w:pPr>
        <w:rPr>
          <w:b/>
          <w:sz w:val="22"/>
          <w:szCs w:val="22"/>
        </w:rPr>
      </w:pPr>
    </w:p>
    <w:tbl>
      <w:tblPr>
        <w:tblW w:w="9907" w:type="dxa"/>
        <w:tblInd w:w="5" w:type="dxa"/>
        <w:tblLayout w:type="fixed"/>
        <w:tblCellMar>
          <w:left w:w="0" w:type="dxa"/>
          <w:right w:w="0" w:type="dxa"/>
        </w:tblCellMar>
        <w:tblLook w:val="0000"/>
      </w:tblPr>
      <w:tblGrid>
        <w:gridCol w:w="4923"/>
        <w:gridCol w:w="2456"/>
        <w:gridCol w:w="2458"/>
        <w:gridCol w:w="40"/>
        <w:gridCol w:w="30"/>
      </w:tblGrid>
      <w:tr w:rsidR="00D879EF" w:rsidRPr="004E17E0" w:rsidTr="00D879EF">
        <w:trPr>
          <w:gridAfter w:val="1"/>
          <w:wAfter w:w="30" w:type="dxa"/>
        </w:trPr>
        <w:tc>
          <w:tcPr>
            <w:tcW w:w="4923" w:type="dxa"/>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jc w:val="center"/>
              <w:rPr>
                <w:sz w:val="24"/>
                <w:szCs w:val="24"/>
              </w:rPr>
            </w:pPr>
            <w:r w:rsidRPr="003510A4">
              <w:rPr>
                <w:b/>
                <w:sz w:val="24"/>
                <w:szCs w:val="24"/>
              </w:rPr>
              <w:t xml:space="preserve">Відомості про учасника </w:t>
            </w:r>
          </w:p>
        </w:tc>
        <w:tc>
          <w:tcPr>
            <w:tcW w:w="4914" w:type="dxa"/>
            <w:gridSpan w:val="2"/>
            <w:tcBorders>
              <w:left w:val="single" w:sz="4" w:space="0" w:color="000000"/>
            </w:tcBorders>
          </w:tcPr>
          <w:p w:rsidR="00D879EF" w:rsidRPr="003510A4" w:rsidRDefault="00D879EF" w:rsidP="001857B8">
            <w:pPr>
              <w:snapToGrid w:val="0"/>
              <w:rPr>
                <w:sz w:val="24"/>
                <w:szCs w:val="24"/>
              </w:rPr>
            </w:pPr>
          </w:p>
        </w:tc>
        <w:tc>
          <w:tcPr>
            <w:tcW w:w="40" w:type="dxa"/>
          </w:tcPr>
          <w:p w:rsidR="00D879EF" w:rsidRPr="004E17E0" w:rsidRDefault="00D879EF" w:rsidP="001857B8">
            <w:pPr>
              <w:snapToGrid w:val="0"/>
            </w:pPr>
          </w:p>
        </w:tc>
      </w:tr>
      <w:tr w:rsidR="00D879EF" w:rsidRPr="004E17E0" w:rsidTr="00D879EF">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rPr>
                <w:sz w:val="24"/>
                <w:szCs w:val="24"/>
              </w:rPr>
            </w:pPr>
            <w:r w:rsidRPr="003510A4">
              <w:rPr>
                <w:sz w:val="24"/>
                <w:szCs w:val="24"/>
              </w:rPr>
              <w:t>Повне найменування учасника</w:t>
            </w:r>
          </w:p>
        </w:tc>
        <w:tc>
          <w:tcPr>
            <w:tcW w:w="2528" w:type="dxa"/>
            <w:gridSpan w:val="3"/>
            <w:tcBorders>
              <w:top w:val="single" w:sz="4" w:space="0" w:color="000000"/>
              <w:left w:val="single" w:sz="4" w:space="0" w:color="000000"/>
              <w:bottom w:val="single" w:sz="4" w:space="0" w:color="000000"/>
              <w:right w:val="single" w:sz="4" w:space="0" w:color="000000"/>
            </w:tcBorders>
          </w:tcPr>
          <w:p w:rsidR="00D879EF" w:rsidRPr="004E17E0" w:rsidRDefault="00D879EF" w:rsidP="001857B8">
            <w:pPr>
              <w:tabs>
                <w:tab w:val="left" w:pos="2160"/>
                <w:tab w:val="left" w:pos="3600"/>
              </w:tabs>
              <w:snapToGrid w:val="0"/>
              <w:jc w:val="both"/>
              <w:rPr>
                <w:color w:val="0000FF"/>
              </w:rPr>
            </w:pPr>
          </w:p>
        </w:tc>
      </w:tr>
      <w:tr w:rsidR="00D879EF" w:rsidRPr="004E17E0" w:rsidTr="00D879EF">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rPr>
                <w:sz w:val="24"/>
                <w:szCs w:val="24"/>
              </w:rPr>
            </w:pPr>
            <w:r w:rsidRPr="003510A4">
              <w:rPr>
                <w:sz w:val="24"/>
                <w:szCs w:val="24"/>
              </w:rPr>
              <w:t>Ідентифікаційний код за ЄДРПОУ (за наявності)</w:t>
            </w:r>
          </w:p>
        </w:tc>
        <w:tc>
          <w:tcPr>
            <w:tcW w:w="2528" w:type="dxa"/>
            <w:gridSpan w:val="3"/>
            <w:tcBorders>
              <w:top w:val="single" w:sz="4" w:space="0" w:color="000000"/>
              <w:left w:val="single" w:sz="4" w:space="0" w:color="000000"/>
              <w:bottom w:val="single" w:sz="4" w:space="0" w:color="000000"/>
              <w:right w:val="single" w:sz="4" w:space="0" w:color="000000"/>
            </w:tcBorders>
          </w:tcPr>
          <w:p w:rsidR="00D879EF" w:rsidRPr="004E17E0" w:rsidRDefault="00D879EF" w:rsidP="001857B8">
            <w:pPr>
              <w:tabs>
                <w:tab w:val="left" w:pos="2160"/>
                <w:tab w:val="left" w:pos="3600"/>
              </w:tabs>
              <w:snapToGrid w:val="0"/>
              <w:jc w:val="both"/>
              <w:rPr>
                <w:color w:val="0000FF"/>
              </w:rPr>
            </w:pPr>
          </w:p>
        </w:tc>
      </w:tr>
      <w:tr w:rsidR="00D879EF" w:rsidRPr="004E17E0" w:rsidTr="00D879EF">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rPr>
                <w:sz w:val="24"/>
                <w:szCs w:val="24"/>
              </w:rPr>
            </w:pPr>
            <w:r w:rsidRPr="003510A4">
              <w:rPr>
                <w:sz w:val="24"/>
                <w:szCs w:val="24"/>
              </w:rPr>
              <w:t>Місцезнаходження (адреса – юридична та фактична)</w:t>
            </w:r>
          </w:p>
        </w:tc>
        <w:tc>
          <w:tcPr>
            <w:tcW w:w="2528" w:type="dxa"/>
            <w:gridSpan w:val="3"/>
            <w:tcBorders>
              <w:top w:val="single" w:sz="4" w:space="0" w:color="000000"/>
              <w:left w:val="single" w:sz="4" w:space="0" w:color="000000"/>
              <w:bottom w:val="single" w:sz="4" w:space="0" w:color="000000"/>
              <w:right w:val="single" w:sz="4" w:space="0" w:color="000000"/>
            </w:tcBorders>
          </w:tcPr>
          <w:p w:rsidR="00D879EF" w:rsidRPr="004E17E0" w:rsidRDefault="00D879EF" w:rsidP="001857B8">
            <w:pPr>
              <w:tabs>
                <w:tab w:val="left" w:pos="2160"/>
                <w:tab w:val="left" w:pos="3600"/>
              </w:tabs>
              <w:snapToGrid w:val="0"/>
              <w:jc w:val="both"/>
              <w:rPr>
                <w:color w:val="0000FF"/>
              </w:rPr>
            </w:pPr>
          </w:p>
        </w:tc>
      </w:tr>
      <w:tr w:rsidR="00D879EF" w:rsidRPr="004E17E0" w:rsidTr="00D879EF">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rPr>
                <w:sz w:val="24"/>
                <w:szCs w:val="24"/>
              </w:rPr>
            </w:pPr>
            <w:r w:rsidRPr="003510A4">
              <w:rPr>
                <w:sz w:val="24"/>
                <w:szCs w:val="24"/>
              </w:rPr>
              <w:t>Банківські реквізити</w:t>
            </w:r>
          </w:p>
        </w:tc>
        <w:tc>
          <w:tcPr>
            <w:tcW w:w="2528" w:type="dxa"/>
            <w:gridSpan w:val="3"/>
            <w:tcBorders>
              <w:top w:val="single" w:sz="4" w:space="0" w:color="000000"/>
              <w:left w:val="single" w:sz="4" w:space="0" w:color="000000"/>
              <w:bottom w:val="single" w:sz="4" w:space="0" w:color="000000"/>
              <w:right w:val="single" w:sz="4" w:space="0" w:color="000000"/>
            </w:tcBorders>
          </w:tcPr>
          <w:p w:rsidR="00D879EF" w:rsidRPr="004E17E0" w:rsidRDefault="00D879EF" w:rsidP="001857B8">
            <w:pPr>
              <w:tabs>
                <w:tab w:val="left" w:pos="2160"/>
                <w:tab w:val="left" w:pos="3600"/>
              </w:tabs>
              <w:snapToGrid w:val="0"/>
              <w:jc w:val="both"/>
              <w:rPr>
                <w:color w:val="0000FF"/>
              </w:rPr>
            </w:pPr>
          </w:p>
        </w:tc>
      </w:tr>
      <w:tr w:rsidR="00D879EF" w:rsidRPr="004E17E0" w:rsidTr="00D879EF">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rPr>
                <w:sz w:val="24"/>
                <w:szCs w:val="24"/>
              </w:rPr>
            </w:pPr>
            <w:r w:rsidRPr="003510A4">
              <w:rPr>
                <w:sz w:val="24"/>
                <w:szCs w:val="24"/>
              </w:rPr>
              <w:t>Телефон/факс</w:t>
            </w:r>
          </w:p>
        </w:tc>
        <w:tc>
          <w:tcPr>
            <w:tcW w:w="2528" w:type="dxa"/>
            <w:gridSpan w:val="3"/>
            <w:tcBorders>
              <w:top w:val="single" w:sz="4" w:space="0" w:color="000000"/>
              <w:left w:val="single" w:sz="4" w:space="0" w:color="000000"/>
              <w:bottom w:val="single" w:sz="4" w:space="0" w:color="000000"/>
              <w:right w:val="single" w:sz="4" w:space="0" w:color="000000"/>
            </w:tcBorders>
          </w:tcPr>
          <w:p w:rsidR="00D879EF" w:rsidRPr="004E17E0" w:rsidRDefault="00D879EF" w:rsidP="001857B8">
            <w:pPr>
              <w:tabs>
                <w:tab w:val="left" w:pos="2160"/>
                <w:tab w:val="left" w:pos="3600"/>
              </w:tabs>
              <w:snapToGrid w:val="0"/>
              <w:jc w:val="both"/>
              <w:rPr>
                <w:color w:val="0000FF"/>
              </w:rPr>
            </w:pPr>
          </w:p>
        </w:tc>
      </w:tr>
      <w:tr w:rsidR="00D879EF" w:rsidRPr="004E17E0" w:rsidTr="00D879EF">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rPr>
                <w:sz w:val="24"/>
                <w:szCs w:val="24"/>
              </w:rPr>
            </w:pPr>
            <w:r w:rsidRPr="003510A4">
              <w:rPr>
                <w:sz w:val="24"/>
                <w:szCs w:val="24"/>
              </w:rPr>
              <w:t>Електронна адреса</w:t>
            </w:r>
          </w:p>
        </w:tc>
        <w:tc>
          <w:tcPr>
            <w:tcW w:w="2528" w:type="dxa"/>
            <w:gridSpan w:val="3"/>
            <w:tcBorders>
              <w:top w:val="single" w:sz="4" w:space="0" w:color="000000"/>
              <w:left w:val="single" w:sz="4" w:space="0" w:color="000000"/>
              <w:bottom w:val="single" w:sz="4" w:space="0" w:color="000000"/>
              <w:right w:val="single" w:sz="4" w:space="0" w:color="000000"/>
            </w:tcBorders>
          </w:tcPr>
          <w:p w:rsidR="00D879EF" w:rsidRPr="004E17E0" w:rsidRDefault="00D879EF" w:rsidP="001857B8">
            <w:pPr>
              <w:tabs>
                <w:tab w:val="left" w:pos="2160"/>
                <w:tab w:val="left" w:pos="3600"/>
              </w:tabs>
              <w:snapToGrid w:val="0"/>
              <w:jc w:val="both"/>
              <w:rPr>
                <w:color w:val="0000FF"/>
              </w:rPr>
            </w:pPr>
          </w:p>
        </w:tc>
      </w:tr>
      <w:tr w:rsidR="00D879EF" w:rsidRPr="004E17E0" w:rsidTr="00D879EF">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rPr>
                <w:sz w:val="24"/>
                <w:szCs w:val="24"/>
              </w:rPr>
            </w:pPr>
            <w:r w:rsidRPr="003510A4">
              <w:rPr>
                <w:sz w:val="24"/>
                <w:szCs w:val="24"/>
              </w:rPr>
              <w:t>Керівництво (ПІБ, посада, контактні телефони)</w:t>
            </w:r>
          </w:p>
        </w:tc>
        <w:tc>
          <w:tcPr>
            <w:tcW w:w="2528" w:type="dxa"/>
            <w:gridSpan w:val="3"/>
            <w:tcBorders>
              <w:top w:val="single" w:sz="4" w:space="0" w:color="000000"/>
              <w:left w:val="single" w:sz="4" w:space="0" w:color="000000"/>
              <w:bottom w:val="single" w:sz="4" w:space="0" w:color="000000"/>
              <w:right w:val="single" w:sz="4" w:space="0" w:color="000000"/>
            </w:tcBorders>
          </w:tcPr>
          <w:p w:rsidR="00D879EF" w:rsidRPr="004E17E0" w:rsidRDefault="00D879EF" w:rsidP="001857B8">
            <w:pPr>
              <w:tabs>
                <w:tab w:val="left" w:pos="2160"/>
                <w:tab w:val="left" w:pos="3600"/>
              </w:tabs>
              <w:snapToGrid w:val="0"/>
              <w:jc w:val="both"/>
              <w:rPr>
                <w:color w:val="0000FF"/>
              </w:rPr>
            </w:pPr>
          </w:p>
        </w:tc>
      </w:tr>
      <w:tr w:rsidR="00D879EF" w:rsidRPr="004E17E0" w:rsidTr="00D879EF">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879EF" w:rsidRPr="003510A4" w:rsidRDefault="00D879EF" w:rsidP="001857B8">
            <w:pPr>
              <w:tabs>
                <w:tab w:val="left" w:pos="2160"/>
                <w:tab w:val="left" w:pos="3600"/>
              </w:tabs>
              <w:rPr>
                <w:sz w:val="24"/>
                <w:szCs w:val="24"/>
              </w:rPr>
            </w:pPr>
            <w:r w:rsidRPr="003510A4">
              <w:rPr>
                <w:sz w:val="24"/>
                <w:szCs w:val="24"/>
              </w:rPr>
              <w:t>Особа, відповідальна за участь у закупівлі (ПІБ, посада, контактні тел.)</w:t>
            </w:r>
          </w:p>
        </w:tc>
        <w:tc>
          <w:tcPr>
            <w:tcW w:w="2528" w:type="dxa"/>
            <w:gridSpan w:val="3"/>
            <w:tcBorders>
              <w:top w:val="single" w:sz="4" w:space="0" w:color="000000"/>
              <w:left w:val="single" w:sz="4" w:space="0" w:color="000000"/>
              <w:bottom w:val="single" w:sz="4" w:space="0" w:color="000000"/>
              <w:right w:val="single" w:sz="4" w:space="0" w:color="000000"/>
            </w:tcBorders>
          </w:tcPr>
          <w:p w:rsidR="00D879EF" w:rsidRPr="004E17E0" w:rsidRDefault="00D879EF" w:rsidP="001857B8">
            <w:pPr>
              <w:tabs>
                <w:tab w:val="left" w:pos="2160"/>
                <w:tab w:val="left" w:pos="3600"/>
              </w:tabs>
              <w:snapToGrid w:val="0"/>
              <w:jc w:val="both"/>
              <w:rPr>
                <w:color w:val="0000FF"/>
              </w:rPr>
            </w:pPr>
          </w:p>
        </w:tc>
      </w:tr>
    </w:tbl>
    <w:p w:rsidR="003D24ED" w:rsidRDefault="003D24ED" w:rsidP="003D24ED">
      <w:pPr>
        <w:shd w:val="clear" w:color="auto" w:fill="FFFFFF"/>
        <w:jc w:val="both"/>
      </w:pPr>
    </w:p>
    <w:p w:rsidR="00D879EF" w:rsidRDefault="00D879EF" w:rsidP="003D24ED">
      <w:pPr>
        <w:shd w:val="clear" w:color="auto" w:fill="FFFFFF"/>
        <w:jc w:val="both"/>
      </w:pPr>
    </w:p>
    <w:p w:rsidR="00D879EF" w:rsidRDefault="00D879EF" w:rsidP="003D24ED">
      <w:pPr>
        <w:shd w:val="clear" w:color="auto" w:fill="FFFFFF"/>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619"/>
        <w:gridCol w:w="1256"/>
        <w:gridCol w:w="972"/>
        <w:gridCol w:w="1078"/>
        <w:gridCol w:w="1078"/>
        <w:gridCol w:w="1086"/>
      </w:tblGrid>
      <w:tr w:rsidR="00D879EF" w:rsidRPr="00A91E26" w:rsidTr="001857B8">
        <w:trPr>
          <w:trHeight w:val="596"/>
        </w:trPr>
        <w:tc>
          <w:tcPr>
            <w:tcW w:w="389" w:type="pct"/>
            <w:vAlign w:val="center"/>
          </w:tcPr>
          <w:p w:rsidR="00D879EF" w:rsidRPr="00A91E26" w:rsidRDefault="00D879EF" w:rsidP="001857B8">
            <w:pPr>
              <w:jc w:val="center"/>
              <w:rPr>
                <w:b/>
              </w:rPr>
            </w:pPr>
            <w:r w:rsidRPr="00A91E26">
              <w:rPr>
                <w:b/>
              </w:rPr>
              <w:t>№ з/п</w:t>
            </w:r>
          </w:p>
        </w:tc>
        <w:tc>
          <w:tcPr>
            <w:tcW w:w="1836" w:type="pct"/>
          </w:tcPr>
          <w:p w:rsidR="00D879EF" w:rsidRPr="00A91E26" w:rsidRDefault="00D879EF" w:rsidP="001857B8">
            <w:pPr>
              <w:ind w:left="-108"/>
              <w:jc w:val="center"/>
              <w:rPr>
                <w:b/>
              </w:rPr>
            </w:pPr>
            <w:r w:rsidRPr="00A91E26">
              <w:rPr>
                <w:b/>
              </w:rPr>
              <w:t>Найменування Послуг</w:t>
            </w:r>
          </w:p>
        </w:tc>
        <w:tc>
          <w:tcPr>
            <w:tcW w:w="637" w:type="pct"/>
          </w:tcPr>
          <w:p w:rsidR="00D879EF" w:rsidRPr="00A91E26" w:rsidRDefault="00D879EF" w:rsidP="001857B8">
            <w:pPr>
              <w:ind w:left="-108"/>
              <w:jc w:val="center"/>
              <w:rPr>
                <w:b/>
              </w:rPr>
            </w:pPr>
            <w:r w:rsidRPr="00A91E26">
              <w:rPr>
                <w:b/>
              </w:rPr>
              <w:t>Кількість</w:t>
            </w:r>
            <w:r w:rsidRPr="00A91E26">
              <w:rPr>
                <w:b/>
                <w:lang w:val="en-US"/>
              </w:rPr>
              <w:t xml:space="preserve">, </w:t>
            </w:r>
            <w:r w:rsidRPr="00A91E26">
              <w:rPr>
                <w:b/>
              </w:rPr>
              <w:t>од</w:t>
            </w:r>
          </w:p>
        </w:tc>
        <w:tc>
          <w:tcPr>
            <w:tcW w:w="493" w:type="pct"/>
          </w:tcPr>
          <w:p w:rsidR="00D879EF" w:rsidRPr="00A91E26" w:rsidRDefault="00D879EF" w:rsidP="001857B8">
            <w:pPr>
              <w:ind w:left="-108"/>
              <w:jc w:val="center"/>
              <w:rPr>
                <w:b/>
              </w:rPr>
            </w:pPr>
            <w:r w:rsidRPr="00A91E26">
              <w:rPr>
                <w:b/>
                <w:bCs/>
                <w:lang w:eastAsia="uk-UA" w:bidi="hi-IN"/>
              </w:rPr>
              <w:t>Ціна, грн. без ПДВ</w:t>
            </w:r>
          </w:p>
        </w:tc>
        <w:tc>
          <w:tcPr>
            <w:tcW w:w="547" w:type="pct"/>
          </w:tcPr>
          <w:p w:rsidR="00D879EF" w:rsidRPr="00A91E26" w:rsidRDefault="00D879EF" w:rsidP="001857B8">
            <w:pPr>
              <w:ind w:left="-108"/>
              <w:jc w:val="center"/>
              <w:rPr>
                <w:b/>
              </w:rPr>
            </w:pPr>
            <w:r w:rsidRPr="00A91E26">
              <w:rPr>
                <w:b/>
                <w:bCs/>
                <w:lang w:eastAsia="uk-UA" w:bidi="hi-IN"/>
              </w:rPr>
              <w:t>Сума, грн. без ПДВ</w:t>
            </w:r>
          </w:p>
        </w:tc>
        <w:tc>
          <w:tcPr>
            <w:tcW w:w="547" w:type="pct"/>
          </w:tcPr>
          <w:p w:rsidR="00D879EF" w:rsidRPr="00A91E26" w:rsidRDefault="00D879EF" w:rsidP="001857B8">
            <w:pPr>
              <w:ind w:left="-108"/>
              <w:jc w:val="center"/>
              <w:rPr>
                <w:b/>
              </w:rPr>
            </w:pPr>
            <w:r w:rsidRPr="00A91E26">
              <w:rPr>
                <w:b/>
                <w:bCs/>
                <w:lang w:eastAsia="uk-UA" w:bidi="hi-IN"/>
              </w:rPr>
              <w:t>ПДВ (20%),</w:t>
            </w:r>
          </w:p>
        </w:tc>
        <w:tc>
          <w:tcPr>
            <w:tcW w:w="551" w:type="pct"/>
          </w:tcPr>
          <w:p w:rsidR="00D879EF" w:rsidRPr="00A91E26" w:rsidRDefault="00D879EF" w:rsidP="001857B8">
            <w:pPr>
              <w:ind w:left="-108"/>
              <w:jc w:val="center"/>
              <w:rPr>
                <w:b/>
              </w:rPr>
            </w:pPr>
            <w:r w:rsidRPr="00A91E26">
              <w:rPr>
                <w:b/>
                <w:bCs/>
                <w:lang w:eastAsia="uk-UA" w:bidi="hi-IN"/>
              </w:rPr>
              <w:t>Загалом, грн. з ПДВ</w:t>
            </w:r>
          </w:p>
        </w:tc>
      </w:tr>
      <w:tr w:rsidR="00D879EF" w:rsidRPr="00A91E26" w:rsidTr="001857B8">
        <w:tc>
          <w:tcPr>
            <w:tcW w:w="389" w:type="pct"/>
            <w:vAlign w:val="center"/>
          </w:tcPr>
          <w:p w:rsidR="00D879EF" w:rsidRPr="00A91E26" w:rsidRDefault="00D879EF" w:rsidP="001857B8">
            <w:pPr>
              <w:ind w:left="113"/>
              <w:jc w:val="both"/>
            </w:pPr>
            <w:r w:rsidRPr="00A91E26">
              <w:t>1</w:t>
            </w:r>
          </w:p>
        </w:tc>
        <w:tc>
          <w:tcPr>
            <w:tcW w:w="1836" w:type="pct"/>
          </w:tcPr>
          <w:p w:rsidR="00D879EF" w:rsidRPr="00A91E26" w:rsidRDefault="00D879EF" w:rsidP="001857B8">
            <w:pPr>
              <w:tabs>
                <w:tab w:val="left" w:pos="6730"/>
              </w:tabs>
              <w:jc w:val="both"/>
            </w:pPr>
            <w:r w:rsidRPr="00A91E26">
              <w:t>Послуги підключення, налаштування та обслуговування віртуальної АТС (</w:t>
            </w:r>
            <w:r w:rsidRPr="00A91E26">
              <w:rPr>
                <w:b/>
                <w:bCs/>
              </w:rPr>
              <w:t>основна послуга</w:t>
            </w:r>
            <w:r w:rsidRPr="00A91E26">
              <w:t>)</w:t>
            </w:r>
          </w:p>
        </w:tc>
        <w:tc>
          <w:tcPr>
            <w:tcW w:w="637" w:type="pct"/>
            <w:vAlign w:val="center"/>
          </w:tcPr>
          <w:p w:rsidR="00D879EF" w:rsidRPr="00A91E26" w:rsidRDefault="00D879EF" w:rsidP="001857B8">
            <w:pPr>
              <w:tabs>
                <w:tab w:val="left" w:pos="6730"/>
              </w:tabs>
              <w:ind w:left="-108"/>
              <w:jc w:val="center"/>
            </w:pPr>
            <w:r w:rsidRPr="00A91E26">
              <w:t>1</w:t>
            </w:r>
          </w:p>
        </w:tc>
        <w:tc>
          <w:tcPr>
            <w:tcW w:w="493" w:type="pct"/>
          </w:tcPr>
          <w:p w:rsidR="00D879EF" w:rsidRPr="00A91E26" w:rsidRDefault="00D879EF" w:rsidP="001857B8">
            <w:pPr>
              <w:tabs>
                <w:tab w:val="left" w:pos="6730"/>
              </w:tabs>
              <w:ind w:left="-108"/>
              <w:jc w:val="center"/>
            </w:pPr>
          </w:p>
        </w:tc>
        <w:tc>
          <w:tcPr>
            <w:tcW w:w="547" w:type="pct"/>
          </w:tcPr>
          <w:p w:rsidR="00D879EF" w:rsidRPr="00A91E26" w:rsidRDefault="00D879EF" w:rsidP="001857B8">
            <w:pPr>
              <w:tabs>
                <w:tab w:val="left" w:pos="6730"/>
              </w:tabs>
              <w:ind w:left="-108"/>
              <w:jc w:val="center"/>
            </w:pPr>
          </w:p>
        </w:tc>
        <w:tc>
          <w:tcPr>
            <w:tcW w:w="547" w:type="pct"/>
          </w:tcPr>
          <w:p w:rsidR="00D879EF" w:rsidRPr="00A91E26" w:rsidRDefault="00D879EF" w:rsidP="001857B8">
            <w:pPr>
              <w:tabs>
                <w:tab w:val="left" w:pos="6730"/>
              </w:tabs>
              <w:ind w:left="-108"/>
              <w:jc w:val="center"/>
            </w:pPr>
          </w:p>
        </w:tc>
        <w:tc>
          <w:tcPr>
            <w:tcW w:w="551" w:type="pct"/>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2</w:t>
            </w:r>
          </w:p>
        </w:tc>
        <w:tc>
          <w:tcPr>
            <w:tcW w:w="1836" w:type="pct"/>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Послуги з підключення, налаштування та обслуговування фіксованого телефонного зв’язку 0</w:t>
            </w:r>
            <w:r w:rsidRPr="00A91E26">
              <w:rPr>
                <w:color w:val="000000"/>
                <w:lang w:eastAsia="uk-UA"/>
              </w:rPr>
              <w:noBreakHyphen/>
              <w:t>800 у форматі SIP (</w:t>
            </w:r>
            <w:r w:rsidRPr="00A91E26">
              <w:rPr>
                <w:b/>
                <w:bCs/>
                <w:color w:val="000000"/>
                <w:lang w:eastAsia="uk-UA"/>
              </w:rPr>
              <w:t>основна послуга</w:t>
            </w:r>
            <w:r w:rsidRPr="00A91E26">
              <w:rPr>
                <w:color w:val="000000"/>
                <w:lang w:eastAsia="uk-UA"/>
              </w:rPr>
              <w:t>)</w:t>
            </w:r>
          </w:p>
        </w:tc>
        <w:tc>
          <w:tcPr>
            <w:tcW w:w="637" w:type="pct"/>
            <w:vAlign w:val="center"/>
          </w:tcPr>
          <w:p w:rsidR="00D879EF" w:rsidRPr="00A91E26" w:rsidRDefault="00D879EF" w:rsidP="001857B8">
            <w:pPr>
              <w:tabs>
                <w:tab w:val="left" w:pos="6730"/>
              </w:tabs>
              <w:ind w:left="-108"/>
              <w:jc w:val="center"/>
            </w:pPr>
            <w:r w:rsidRPr="00A91E26">
              <w:t>1</w:t>
            </w:r>
          </w:p>
        </w:tc>
        <w:tc>
          <w:tcPr>
            <w:tcW w:w="493" w:type="pct"/>
          </w:tcPr>
          <w:p w:rsidR="00D879EF" w:rsidRPr="00A91E26" w:rsidRDefault="00D879EF" w:rsidP="001857B8">
            <w:pPr>
              <w:tabs>
                <w:tab w:val="left" w:pos="6730"/>
              </w:tabs>
              <w:ind w:left="-108"/>
              <w:jc w:val="center"/>
            </w:pPr>
          </w:p>
        </w:tc>
        <w:tc>
          <w:tcPr>
            <w:tcW w:w="547" w:type="pct"/>
          </w:tcPr>
          <w:p w:rsidR="00D879EF" w:rsidRPr="00A91E26" w:rsidRDefault="00D879EF" w:rsidP="001857B8">
            <w:pPr>
              <w:tabs>
                <w:tab w:val="left" w:pos="6730"/>
              </w:tabs>
              <w:ind w:left="-108"/>
              <w:jc w:val="center"/>
            </w:pPr>
          </w:p>
        </w:tc>
        <w:tc>
          <w:tcPr>
            <w:tcW w:w="547" w:type="pct"/>
          </w:tcPr>
          <w:p w:rsidR="00D879EF" w:rsidRPr="00A91E26" w:rsidRDefault="00D879EF" w:rsidP="001857B8">
            <w:pPr>
              <w:tabs>
                <w:tab w:val="left" w:pos="6730"/>
              </w:tabs>
              <w:ind w:left="-108"/>
              <w:jc w:val="center"/>
            </w:pPr>
          </w:p>
        </w:tc>
        <w:tc>
          <w:tcPr>
            <w:tcW w:w="551" w:type="pct"/>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3</w:t>
            </w:r>
          </w:p>
        </w:tc>
        <w:tc>
          <w:tcPr>
            <w:tcW w:w="1836" w:type="pct"/>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Технічні, якісні та інші характеристики, що містять кількісний показник:</w:t>
            </w:r>
          </w:p>
        </w:tc>
        <w:tc>
          <w:tcPr>
            <w:tcW w:w="637" w:type="pct"/>
            <w:vAlign w:val="center"/>
          </w:tcPr>
          <w:p w:rsidR="00D879EF" w:rsidRPr="00A91E26" w:rsidRDefault="00D879EF" w:rsidP="001857B8">
            <w:pPr>
              <w:tabs>
                <w:tab w:val="left" w:pos="6730"/>
              </w:tabs>
              <w:ind w:left="-108"/>
              <w:jc w:val="center"/>
            </w:pPr>
          </w:p>
        </w:tc>
        <w:tc>
          <w:tcPr>
            <w:tcW w:w="493" w:type="pct"/>
          </w:tcPr>
          <w:p w:rsidR="00D879EF" w:rsidRPr="00A91E26" w:rsidRDefault="00D879EF" w:rsidP="001857B8">
            <w:pPr>
              <w:tabs>
                <w:tab w:val="left" w:pos="6730"/>
              </w:tabs>
              <w:ind w:left="-108"/>
              <w:jc w:val="center"/>
            </w:pPr>
          </w:p>
        </w:tc>
        <w:tc>
          <w:tcPr>
            <w:tcW w:w="547" w:type="pct"/>
          </w:tcPr>
          <w:p w:rsidR="00D879EF" w:rsidRPr="00A91E26" w:rsidRDefault="00D879EF" w:rsidP="001857B8">
            <w:pPr>
              <w:tabs>
                <w:tab w:val="left" w:pos="6730"/>
              </w:tabs>
              <w:ind w:left="-108"/>
              <w:jc w:val="center"/>
            </w:pPr>
          </w:p>
        </w:tc>
        <w:tc>
          <w:tcPr>
            <w:tcW w:w="547" w:type="pct"/>
          </w:tcPr>
          <w:p w:rsidR="00D879EF" w:rsidRPr="00A91E26" w:rsidRDefault="00D879EF" w:rsidP="001857B8">
            <w:pPr>
              <w:tabs>
                <w:tab w:val="left" w:pos="6730"/>
              </w:tabs>
              <w:ind w:left="-108"/>
              <w:jc w:val="center"/>
            </w:pPr>
          </w:p>
        </w:tc>
        <w:tc>
          <w:tcPr>
            <w:tcW w:w="551" w:type="pct"/>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3.1</w:t>
            </w:r>
          </w:p>
        </w:tc>
        <w:tc>
          <w:tcPr>
            <w:tcW w:w="1836" w:type="pct"/>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 xml:space="preserve">Оренда номеру </w:t>
            </w:r>
            <w:proofErr w:type="spellStart"/>
            <w:r w:rsidRPr="00A91E26">
              <w:rPr>
                <w:color w:val="000000"/>
                <w:lang w:eastAsia="uk-UA"/>
              </w:rPr>
              <w:t>телефона</w:t>
            </w:r>
            <w:proofErr w:type="spellEnd"/>
            <w:r w:rsidRPr="00A91E26">
              <w:rPr>
                <w:color w:val="000000"/>
                <w:lang w:eastAsia="uk-UA"/>
              </w:rPr>
              <w:t xml:space="preserve"> 0-800</w:t>
            </w:r>
          </w:p>
        </w:tc>
        <w:tc>
          <w:tcPr>
            <w:tcW w:w="637" w:type="pct"/>
            <w:vAlign w:val="center"/>
          </w:tcPr>
          <w:p w:rsidR="00D879EF" w:rsidRPr="00A91E26" w:rsidRDefault="00D879EF" w:rsidP="001857B8">
            <w:pPr>
              <w:tabs>
                <w:tab w:val="left" w:pos="6730"/>
              </w:tabs>
              <w:ind w:left="-108"/>
              <w:jc w:val="center"/>
            </w:pPr>
            <w:r w:rsidRPr="00A91E26">
              <w:t>1</w:t>
            </w:r>
          </w:p>
        </w:tc>
        <w:tc>
          <w:tcPr>
            <w:tcW w:w="493" w:type="pct"/>
          </w:tcPr>
          <w:p w:rsidR="00D879EF" w:rsidRPr="00A91E26" w:rsidRDefault="00D879EF" w:rsidP="001857B8">
            <w:pPr>
              <w:tabs>
                <w:tab w:val="left" w:pos="6730"/>
              </w:tabs>
              <w:ind w:left="-108"/>
              <w:jc w:val="center"/>
            </w:pPr>
          </w:p>
        </w:tc>
        <w:tc>
          <w:tcPr>
            <w:tcW w:w="547" w:type="pct"/>
          </w:tcPr>
          <w:p w:rsidR="00D879EF" w:rsidRPr="00A91E26" w:rsidRDefault="00D879EF" w:rsidP="001857B8">
            <w:pPr>
              <w:tabs>
                <w:tab w:val="left" w:pos="6730"/>
              </w:tabs>
              <w:ind w:left="-108"/>
              <w:jc w:val="center"/>
            </w:pPr>
          </w:p>
        </w:tc>
        <w:tc>
          <w:tcPr>
            <w:tcW w:w="547" w:type="pct"/>
          </w:tcPr>
          <w:p w:rsidR="00D879EF" w:rsidRPr="00A91E26" w:rsidRDefault="00D879EF" w:rsidP="001857B8">
            <w:pPr>
              <w:tabs>
                <w:tab w:val="left" w:pos="6730"/>
              </w:tabs>
              <w:ind w:left="-108"/>
              <w:jc w:val="center"/>
            </w:pPr>
          </w:p>
        </w:tc>
        <w:tc>
          <w:tcPr>
            <w:tcW w:w="551" w:type="pct"/>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3.2</w:t>
            </w:r>
          </w:p>
        </w:tc>
        <w:tc>
          <w:tcPr>
            <w:tcW w:w="1836" w:type="pct"/>
            <w:tcBorders>
              <w:top w:val="single" w:sz="4" w:space="0" w:color="auto"/>
              <w:left w:val="single" w:sz="4" w:space="0" w:color="auto"/>
            </w:tcBorders>
            <w:shd w:val="clear" w:color="auto" w:fill="FFFFFF"/>
            <w:vAlign w:val="center"/>
          </w:tcPr>
          <w:p w:rsidR="00D879EF" w:rsidRPr="00A91E26" w:rsidRDefault="00D879EF" w:rsidP="001857B8">
            <w:pPr>
              <w:tabs>
                <w:tab w:val="left" w:pos="6730"/>
              </w:tabs>
              <w:jc w:val="both"/>
            </w:pPr>
            <w:r w:rsidRPr="00A91E26">
              <w:t>Мінімальна кількість надходження одночасних вхідних дзвінків</w:t>
            </w:r>
          </w:p>
        </w:tc>
        <w:tc>
          <w:tcPr>
            <w:tcW w:w="637" w:type="pct"/>
            <w:tcBorders>
              <w:top w:val="single" w:sz="4" w:space="0" w:color="auto"/>
              <w:left w:val="single" w:sz="4" w:space="0" w:color="auto"/>
            </w:tcBorders>
            <w:shd w:val="clear" w:color="auto" w:fill="FFFFFF"/>
            <w:vAlign w:val="center"/>
          </w:tcPr>
          <w:p w:rsidR="00D879EF" w:rsidRPr="00A91E26" w:rsidRDefault="00D879EF" w:rsidP="001857B8">
            <w:pPr>
              <w:tabs>
                <w:tab w:val="left" w:pos="6730"/>
              </w:tabs>
              <w:ind w:left="-108"/>
              <w:jc w:val="center"/>
            </w:pPr>
            <w:r>
              <w:t>15</w:t>
            </w:r>
          </w:p>
        </w:tc>
        <w:tc>
          <w:tcPr>
            <w:tcW w:w="493" w:type="pct"/>
            <w:tcBorders>
              <w:top w:val="single" w:sz="4" w:space="0" w:color="auto"/>
              <w:left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3.3</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rsidRPr="00A91E26">
              <w:t>Мінімальна кількість внутрішніх ліній для операторів</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t>До 1</w:t>
            </w:r>
            <w:r w:rsidRPr="00A91E26">
              <w:t>0</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3.4</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rsidRPr="00A91E26">
              <w:t>Мінімальна кількість номерів/ліній для здійснення вихідного дзвінка</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5</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3.5</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rsidRPr="00A91E26">
              <w:t>Вартість однієї хвилини вхідної розмови</w:t>
            </w:r>
            <w:r>
              <w:t xml:space="preserve"> з розрахунку на 12 000 </w:t>
            </w:r>
            <w:proofErr w:type="spellStart"/>
            <w:r>
              <w:t>хв</w:t>
            </w:r>
            <w:proofErr w:type="spellEnd"/>
            <w:r>
              <w:t>/міс</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1</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380821" w:rsidTr="001857B8">
        <w:tc>
          <w:tcPr>
            <w:tcW w:w="389" w:type="pct"/>
            <w:vAlign w:val="center"/>
          </w:tcPr>
          <w:p w:rsidR="00D879EF" w:rsidRPr="00380821" w:rsidRDefault="00D879EF" w:rsidP="001857B8">
            <w:pPr>
              <w:ind w:left="113"/>
              <w:jc w:val="both"/>
            </w:pPr>
            <w:r>
              <w:t>3.6</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t xml:space="preserve">Вартість однієї хвилини вихідної розмови на мобільні номери з розрахунку 600 </w:t>
            </w:r>
            <w:proofErr w:type="spellStart"/>
            <w:r>
              <w:t>хв</w:t>
            </w:r>
            <w:proofErr w:type="spellEnd"/>
            <w:r>
              <w:t>/міс</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380821" w:rsidRDefault="00D879EF" w:rsidP="001857B8">
            <w:pPr>
              <w:tabs>
                <w:tab w:val="left" w:pos="6730"/>
              </w:tabs>
              <w:ind w:left="-108"/>
              <w:jc w:val="center"/>
            </w:pPr>
            <w:r>
              <w:t>1</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bl>
    <w:p w:rsidR="00D879EF" w:rsidRDefault="00D879EF" w:rsidP="00D879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619"/>
        <w:gridCol w:w="1256"/>
        <w:gridCol w:w="972"/>
        <w:gridCol w:w="1078"/>
        <w:gridCol w:w="1078"/>
        <w:gridCol w:w="1086"/>
      </w:tblGrid>
      <w:tr w:rsidR="00D879EF" w:rsidRPr="00A91E26" w:rsidTr="001857B8">
        <w:tc>
          <w:tcPr>
            <w:tcW w:w="389" w:type="pct"/>
            <w:vAlign w:val="center"/>
          </w:tcPr>
          <w:p w:rsidR="00D879EF" w:rsidRPr="00A91E26" w:rsidRDefault="00D879EF" w:rsidP="001857B8">
            <w:pPr>
              <w:ind w:left="113"/>
              <w:jc w:val="both"/>
            </w:pPr>
            <w:r w:rsidRPr="00A91E26">
              <w:t>4</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rsidRPr="00A91E26">
              <w:t>Технічні, якісні та інші характеристики, що не містять кількісний показник:</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4.1</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rsidRPr="00A91E26">
              <w:t>Наявність цілодобової технічної підтримки (мінімально – наявність технічної підтримки у робочі дні з 8:00 до 18:00)</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lastRenderedPageBreak/>
              <w:t>4.2</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rsidRPr="00A91E26">
              <w:t>Відсутність плати за з’єднання</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4.3</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rsidRPr="00A91E26">
              <w:t>Наявність оплати за фактичну кількість вхідних секунд розмови</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4.4</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jc w:val="both"/>
            </w:pPr>
            <w:r w:rsidRPr="00A91E26">
              <w:t>Можливість використання програмних телефонів (AIX/SIP) для обробки вхідних та здійснення вихідних дзвінків</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4.5</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Можливість здійснення широкого спектру налаштувань віртуальної АТС співробітником</w:t>
            </w:r>
            <w:r>
              <w:rPr>
                <w:color w:val="000000"/>
                <w:lang w:eastAsia="uk-UA"/>
              </w:rPr>
              <w:t xml:space="preserve"> ГУ ПФУ в Черкаській області</w:t>
            </w:r>
            <w:r w:rsidRPr="00A91E26">
              <w:rPr>
                <w:color w:val="000000"/>
                <w:lang w:eastAsia="uk-UA"/>
              </w:rPr>
              <w:t xml:space="preserve"> (з особистого кабінету та/або окремо встановленого програмного забезпечення), а саме:</w:t>
            </w:r>
          </w:p>
          <w:p w:rsidR="00D879EF" w:rsidRPr="00A91E26" w:rsidRDefault="00D879EF" w:rsidP="00D879EF">
            <w:pPr>
              <w:numPr>
                <w:ilvl w:val="0"/>
                <w:numId w:val="1"/>
              </w:numPr>
              <w:autoSpaceDE w:val="0"/>
              <w:autoSpaceDN w:val="0"/>
              <w:adjustRightInd w:val="0"/>
              <w:spacing w:after="160" w:line="259" w:lineRule="auto"/>
              <w:jc w:val="both"/>
              <w:rPr>
                <w:color w:val="000000"/>
                <w:lang w:eastAsia="uk-UA"/>
              </w:rPr>
            </w:pPr>
            <w:r w:rsidRPr="00A91E26">
              <w:rPr>
                <w:color w:val="000000"/>
                <w:lang w:eastAsia="uk-UA"/>
              </w:rPr>
              <w:t>налаштування голосового багатоканального меню;</w:t>
            </w:r>
          </w:p>
          <w:p w:rsidR="00D879EF" w:rsidRPr="00A91E26" w:rsidRDefault="00D879EF" w:rsidP="00D879EF">
            <w:pPr>
              <w:numPr>
                <w:ilvl w:val="0"/>
                <w:numId w:val="1"/>
              </w:numPr>
              <w:autoSpaceDE w:val="0"/>
              <w:autoSpaceDN w:val="0"/>
              <w:adjustRightInd w:val="0"/>
              <w:spacing w:after="160" w:line="259" w:lineRule="auto"/>
              <w:jc w:val="both"/>
              <w:rPr>
                <w:color w:val="000000"/>
                <w:lang w:eastAsia="uk-UA"/>
              </w:rPr>
            </w:pPr>
            <w:r w:rsidRPr="00A91E26">
              <w:rPr>
                <w:color w:val="000000"/>
                <w:lang w:eastAsia="uk-UA"/>
              </w:rPr>
              <w:t>налаштування маршрутизації вхідних та вихідних дзвінків;</w:t>
            </w:r>
          </w:p>
          <w:p w:rsidR="00D879EF" w:rsidRPr="00A91E26" w:rsidRDefault="00D879EF" w:rsidP="00D879EF">
            <w:pPr>
              <w:numPr>
                <w:ilvl w:val="0"/>
                <w:numId w:val="1"/>
              </w:numPr>
              <w:autoSpaceDE w:val="0"/>
              <w:autoSpaceDN w:val="0"/>
              <w:adjustRightInd w:val="0"/>
              <w:spacing w:after="160" w:line="259" w:lineRule="auto"/>
              <w:jc w:val="both"/>
              <w:rPr>
                <w:color w:val="000000"/>
                <w:lang w:eastAsia="uk-UA"/>
              </w:rPr>
            </w:pPr>
            <w:r w:rsidRPr="00A91E26">
              <w:rPr>
                <w:color w:val="000000"/>
                <w:lang w:eastAsia="uk-UA"/>
              </w:rPr>
              <w:t>налаштування черговості і груп викликів;</w:t>
            </w:r>
          </w:p>
          <w:p w:rsidR="00D879EF" w:rsidRPr="00A91E26" w:rsidRDefault="00D879EF" w:rsidP="00D879EF">
            <w:pPr>
              <w:numPr>
                <w:ilvl w:val="0"/>
                <w:numId w:val="1"/>
              </w:numPr>
              <w:autoSpaceDE w:val="0"/>
              <w:autoSpaceDN w:val="0"/>
              <w:adjustRightInd w:val="0"/>
              <w:spacing w:after="160" w:line="259" w:lineRule="auto"/>
              <w:jc w:val="both"/>
              <w:rPr>
                <w:color w:val="000000"/>
                <w:lang w:eastAsia="uk-UA"/>
              </w:rPr>
            </w:pPr>
            <w:r w:rsidRPr="00A91E26">
              <w:rPr>
                <w:color w:val="000000"/>
                <w:lang w:eastAsia="uk-UA"/>
              </w:rPr>
              <w:t>налаштування сценаріїв для вхідних дзвінків (робочі/неробочі/вихідні години/дні);</w:t>
            </w:r>
          </w:p>
          <w:p w:rsidR="00D879EF" w:rsidRPr="00A91E26" w:rsidRDefault="00D879EF" w:rsidP="00D879EF">
            <w:pPr>
              <w:numPr>
                <w:ilvl w:val="0"/>
                <w:numId w:val="1"/>
              </w:numPr>
              <w:autoSpaceDE w:val="0"/>
              <w:autoSpaceDN w:val="0"/>
              <w:adjustRightInd w:val="0"/>
              <w:spacing w:after="160" w:line="259" w:lineRule="auto"/>
              <w:jc w:val="both"/>
              <w:rPr>
                <w:color w:val="000000"/>
                <w:lang w:eastAsia="uk-UA"/>
              </w:rPr>
            </w:pPr>
            <w:r w:rsidRPr="00A91E26">
              <w:rPr>
                <w:color w:val="000000"/>
                <w:lang w:eastAsia="uk-UA"/>
              </w:rPr>
              <w:t>налаштування розрізнених прав доступу до дзвінків, журналів, звітів, статистики тощо.</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4.6</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Наявність безкоштовних дзвінків в середині системи між операторами віртуальної АТС</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4.7</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Наявність голосової пошти</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4.8</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Наявність запису дзвінків</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4.9</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Наявність статистики по дзвінкам і можливість вивантаження статистики (загальної та по кожному оператору)</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bl>
    <w:p w:rsidR="00D879EF" w:rsidRDefault="00D879EF" w:rsidP="00D879EF"/>
    <w:p w:rsidR="00D879EF" w:rsidRPr="0003655C" w:rsidRDefault="00D879EF" w:rsidP="00D879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619"/>
        <w:gridCol w:w="1256"/>
        <w:gridCol w:w="972"/>
        <w:gridCol w:w="1078"/>
        <w:gridCol w:w="1078"/>
        <w:gridCol w:w="1086"/>
      </w:tblGrid>
      <w:tr w:rsidR="00D879EF" w:rsidRPr="00A91E26" w:rsidTr="001857B8">
        <w:tc>
          <w:tcPr>
            <w:tcW w:w="389" w:type="pct"/>
            <w:vAlign w:val="center"/>
          </w:tcPr>
          <w:p w:rsidR="00D879EF" w:rsidRPr="00A91E26" w:rsidRDefault="00D879EF" w:rsidP="001857B8">
            <w:pPr>
              <w:ind w:left="113"/>
              <w:jc w:val="both"/>
            </w:pPr>
            <w:r w:rsidRPr="00A91E26">
              <w:t>4.10</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Можливість зменшення вартості однієї хвилини вхідного дзвінка залежно від загальної кількості вхідних хвилин за період</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r w:rsidRPr="00A91E26">
              <w:t>4.11</w:t>
            </w: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r w:rsidRPr="00A91E26">
              <w:rPr>
                <w:color w:val="000000"/>
                <w:lang w:eastAsia="uk-UA"/>
              </w:rPr>
              <w:t>Наявність резервного копіювання та/або збереження налаштувань віртуальної АТС</w:t>
            </w:r>
          </w:p>
        </w:tc>
        <w:tc>
          <w:tcPr>
            <w:tcW w:w="637"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tabs>
                <w:tab w:val="left" w:pos="6730"/>
              </w:tabs>
              <w:ind w:left="-108"/>
              <w:jc w:val="center"/>
            </w:pPr>
            <w:r w:rsidRPr="00A91E26">
              <w:t>+</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p>
        </w:tc>
        <w:tc>
          <w:tcPr>
            <w:tcW w:w="1836" w:type="pct"/>
            <w:tcBorders>
              <w:top w:val="single" w:sz="4" w:space="0" w:color="auto"/>
              <w:left w:val="single" w:sz="4" w:space="0" w:color="auto"/>
              <w:bottom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p>
        </w:tc>
        <w:tc>
          <w:tcPr>
            <w:tcW w:w="63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r w:rsidRPr="00A91E26">
              <w:rPr>
                <w:b/>
                <w:bCs/>
                <w:lang w:eastAsia="uk-UA" w:bidi="hi-IN"/>
              </w:rPr>
              <w:t>Всього, грн.</w:t>
            </w:r>
          </w:p>
        </w:tc>
        <w:tc>
          <w:tcPr>
            <w:tcW w:w="493"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pPr>
          </w:p>
        </w:tc>
        <w:tc>
          <w:tcPr>
            <w:tcW w:w="551" w:type="pct"/>
            <w:tcBorders>
              <w:top w:val="single" w:sz="4" w:space="0" w:color="auto"/>
              <w:left w:val="single" w:sz="4" w:space="0" w:color="auto"/>
              <w:bottom w:val="single" w:sz="4" w:space="0" w:color="auto"/>
            </w:tcBorders>
            <w:shd w:val="clear" w:color="auto" w:fill="FFFFFF"/>
          </w:tcPr>
          <w:p w:rsidR="00D879EF" w:rsidRPr="00A91E26" w:rsidRDefault="00D879EF" w:rsidP="001857B8">
            <w:pPr>
              <w:tabs>
                <w:tab w:val="left" w:pos="6730"/>
              </w:tabs>
              <w:ind w:left="-108"/>
              <w:jc w:val="center"/>
            </w:pPr>
          </w:p>
        </w:tc>
      </w:tr>
      <w:tr w:rsidR="00D879EF" w:rsidRPr="00A91E26" w:rsidTr="001857B8">
        <w:tc>
          <w:tcPr>
            <w:tcW w:w="389" w:type="pct"/>
            <w:vAlign w:val="center"/>
          </w:tcPr>
          <w:p w:rsidR="00D879EF" w:rsidRPr="00A91E26" w:rsidRDefault="00D879EF" w:rsidP="001857B8">
            <w:pPr>
              <w:ind w:left="113"/>
              <w:jc w:val="both"/>
            </w:pPr>
          </w:p>
        </w:tc>
        <w:tc>
          <w:tcPr>
            <w:tcW w:w="1836" w:type="pct"/>
            <w:tcBorders>
              <w:top w:val="single" w:sz="4" w:space="0" w:color="auto"/>
              <w:left w:val="single" w:sz="4" w:space="0" w:color="auto"/>
            </w:tcBorders>
            <w:shd w:val="clear" w:color="auto" w:fill="FFFFFF"/>
            <w:vAlign w:val="center"/>
          </w:tcPr>
          <w:p w:rsidR="00D879EF" w:rsidRPr="00A91E26" w:rsidRDefault="00D879EF" w:rsidP="001857B8">
            <w:pPr>
              <w:autoSpaceDE w:val="0"/>
              <w:autoSpaceDN w:val="0"/>
              <w:adjustRightInd w:val="0"/>
              <w:jc w:val="both"/>
              <w:rPr>
                <w:color w:val="000000"/>
                <w:lang w:eastAsia="uk-UA"/>
              </w:rPr>
            </w:pPr>
          </w:p>
        </w:tc>
        <w:tc>
          <w:tcPr>
            <w:tcW w:w="637" w:type="pct"/>
            <w:tcBorders>
              <w:top w:val="single" w:sz="4" w:space="0" w:color="auto"/>
              <w:left w:val="single" w:sz="4" w:space="0" w:color="auto"/>
            </w:tcBorders>
            <w:shd w:val="clear" w:color="auto" w:fill="FFFFFF"/>
            <w:vAlign w:val="center"/>
          </w:tcPr>
          <w:p w:rsidR="00D879EF" w:rsidRPr="00A91E26" w:rsidRDefault="00D879EF" w:rsidP="001857B8">
            <w:pPr>
              <w:tabs>
                <w:tab w:val="left" w:pos="6730"/>
              </w:tabs>
              <w:ind w:left="-108"/>
              <w:jc w:val="center"/>
            </w:pPr>
            <w:r w:rsidRPr="00A91E26">
              <w:rPr>
                <w:b/>
                <w:bCs/>
                <w:lang w:eastAsia="uk-UA" w:bidi="hi-IN"/>
              </w:rPr>
              <w:t>в т. ч. ПДВ</w:t>
            </w:r>
          </w:p>
        </w:tc>
        <w:tc>
          <w:tcPr>
            <w:tcW w:w="493" w:type="pct"/>
            <w:tcBorders>
              <w:top w:val="single" w:sz="4" w:space="0" w:color="auto"/>
              <w:left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tcBorders>
            <w:shd w:val="clear" w:color="auto" w:fill="FFFFFF"/>
          </w:tcPr>
          <w:p w:rsidR="00D879EF" w:rsidRPr="00A91E26" w:rsidRDefault="00D879EF" w:rsidP="001857B8">
            <w:pPr>
              <w:tabs>
                <w:tab w:val="left" w:pos="6730"/>
              </w:tabs>
              <w:ind w:left="-108"/>
              <w:jc w:val="center"/>
            </w:pPr>
          </w:p>
        </w:tc>
        <w:tc>
          <w:tcPr>
            <w:tcW w:w="547" w:type="pct"/>
            <w:tcBorders>
              <w:top w:val="single" w:sz="4" w:space="0" w:color="auto"/>
              <w:left w:val="single" w:sz="4" w:space="0" w:color="auto"/>
            </w:tcBorders>
            <w:shd w:val="clear" w:color="auto" w:fill="FFFFFF"/>
          </w:tcPr>
          <w:p w:rsidR="00D879EF" w:rsidRPr="00A91E26" w:rsidRDefault="00D879EF" w:rsidP="001857B8">
            <w:pPr>
              <w:tabs>
                <w:tab w:val="left" w:pos="6730"/>
              </w:tabs>
            </w:pPr>
          </w:p>
        </w:tc>
        <w:tc>
          <w:tcPr>
            <w:tcW w:w="551" w:type="pct"/>
            <w:tcBorders>
              <w:top w:val="single" w:sz="4" w:space="0" w:color="auto"/>
              <w:left w:val="single" w:sz="4" w:space="0" w:color="auto"/>
            </w:tcBorders>
            <w:shd w:val="clear" w:color="auto" w:fill="FFFFFF"/>
          </w:tcPr>
          <w:p w:rsidR="00D879EF" w:rsidRPr="00A91E26" w:rsidRDefault="00D879EF" w:rsidP="001857B8">
            <w:pPr>
              <w:tabs>
                <w:tab w:val="left" w:pos="6730"/>
              </w:tabs>
              <w:ind w:left="-108"/>
              <w:jc w:val="center"/>
            </w:pPr>
          </w:p>
        </w:tc>
      </w:tr>
    </w:tbl>
    <w:p w:rsidR="00D879EF" w:rsidRPr="00F751CA" w:rsidRDefault="00D879EF" w:rsidP="003D24ED">
      <w:pPr>
        <w:shd w:val="clear" w:color="auto" w:fill="FFFFFF"/>
        <w:jc w:val="both"/>
      </w:pPr>
    </w:p>
    <w:p w:rsidR="003D24ED" w:rsidRDefault="003D24ED" w:rsidP="003D24ED">
      <w:pPr>
        <w:spacing w:before="240" w:line="300" w:lineRule="atLeast"/>
        <w:ind w:firstLine="426"/>
        <w:jc w:val="both"/>
      </w:pPr>
      <w:r>
        <w:rPr>
          <w:b/>
          <w:bCs/>
          <w:sz w:val="24"/>
          <w:szCs w:val="24"/>
        </w:rPr>
        <w:t>Загальна ціна пропозиції _____________________грн.__ коп. з ПДВ</w:t>
      </w:r>
      <w:r w:rsidRPr="00D879EF">
        <w:rPr>
          <w:b/>
          <w:bCs/>
          <w:sz w:val="24"/>
          <w:szCs w:val="24"/>
        </w:rPr>
        <w:t>*</w:t>
      </w:r>
      <w:r w:rsidRPr="00D879EF">
        <w:rPr>
          <w:sz w:val="24"/>
          <w:szCs w:val="24"/>
        </w:rPr>
        <w:t>.</w:t>
      </w:r>
    </w:p>
    <w:p w:rsidR="00D879EF" w:rsidRDefault="00D879EF" w:rsidP="003D24ED">
      <w:pPr>
        <w:tabs>
          <w:tab w:val="left" w:pos="540"/>
        </w:tabs>
        <w:spacing w:line="300" w:lineRule="atLeast"/>
        <w:ind w:right="-23" w:firstLine="426"/>
        <w:jc w:val="both"/>
        <w:rPr>
          <w:color w:val="000000"/>
          <w:sz w:val="24"/>
          <w:szCs w:val="24"/>
        </w:rPr>
      </w:pPr>
    </w:p>
    <w:p w:rsidR="003D24ED" w:rsidRDefault="003D24ED" w:rsidP="003D24ED">
      <w:pPr>
        <w:tabs>
          <w:tab w:val="left" w:pos="540"/>
        </w:tabs>
        <w:spacing w:line="300" w:lineRule="atLeast"/>
        <w:ind w:right="-23" w:firstLine="426"/>
        <w:jc w:val="both"/>
        <w:rPr>
          <w:color w:val="000000"/>
          <w:sz w:val="24"/>
          <w:szCs w:val="24"/>
        </w:rPr>
      </w:pPr>
      <w:r>
        <w:rPr>
          <w:color w:val="000000"/>
          <w:sz w:val="24"/>
          <w:szCs w:val="24"/>
        </w:rPr>
        <w:t>___________________________________________________________________________</w:t>
      </w:r>
    </w:p>
    <w:p w:rsidR="003D24ED" w:rsidRDefault="003D24ED" w:rsidP="003D24ED">
      <w:pPr>
        <w:tabs>
          <w:tab w:val="left" w:pos="540"/>
        </w:tabs>
        <w:spacing w:line="300" w:lineRule="atLeast"/>
        <w:ind w:right="-23" w:firstLine="426"/>
        <w:jc w:val="both"/>
      </w:pPr>
      <w:r>
        <w:rPr>
          <w:color w:val="000000"/>
          <w:sz w:val="24"/>
          <w:szCs w:val="24"/>
        </w:rPr>
        <w:t>Посада, прізвище, ініціали, підпис уповноваженої особи Учасника, завірені печаткою (за наявності)</w:t>
      </w:r>
    </w:p>
    <w:p w:rsidR="003D24ED" w:rsidRDefault="003D24ED" w:rsidP="003D24ED">
      <w:pPr>
        <w:ind w:right="-272"/>
        <w:jc w:val="both"/>
        <w:rPr>
          <w:b/>
          <w:bCs/>
          <w:i/>
          <w:iCs/>
          <w:color w:val="000000"/>
          <w:sz w:val="24"/>
          <w:szCs w:val="24"/>
        </w:rPr>
      </w:pPr>
    </w:p>
    <w:p w:rsidR="003D24ED" w:rsidRDefault="003D24ED" w:rsidP="003D24ED">
      <w:pPr>
        <w:jc w:val="both"/>
      </w:pPr>
      <w:r>
        <w:rPr>
          <w:i/>
          <w:sz w:val="24"/>
          <w:szCs w:val="24"/>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w:t>
      </w:r>
      <w:r>
        <w:rPr>
          <w:i/>
          <w:sz w:val="24"/>
          <w:szCs w:val="24"/>
        </w:rPr>
        <w:lastRenderedPageBreak/>
        <w:t>зробити відповідну помітку та окремо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EE17FF" w:rsidRPr="00EE17FF" w:rsidRDefault="00EE17FF" w:rsidP="00EE17FF">
      <w:pPr>
        <w:ind w:firstLine="709"/>
        <w:jc w:val="both"/>
        <w:rPr>
          <w:sz w:val="24"/>
          <w:szCs w:val="24"/>
        </w:rPr>
      </w:pPr>
    </w:p>
    <w:p w:rsidR="00C97857" w:rsidRPr="00A61FFF" w:rsidRDefault="00C97857" w:rsidP="00C97857">
      <w:pPr>
        <w:rPr>
          <w:b/>
          <w:bCs/>
        </w:rPr>
      </w:pPr>
    </w:p>
    <w:p w:rsidR="00C97857" w:rsidRPr="001B04CA" w:rsidRDefault="00C97857" w:rsidP="00C97857">
      <w:pPr>
        <w:pStyle w:val="a7"/>
        <w:suppressAutoHyphens w:val="0"/>
        <w:ind w:firstLine="709"/>
        <w:jc w:val="both"/>
        <w:rPr>
          <w:color w:val="000000"/>
          <w:lang w:val="uk-UA"/>
        </w:rPr>
      </w:pPr>
    </w:p>
    <w:sectPr w:rsidR="00C97857" w:rsidRPr="001B04CA" w:rsidSect="00D11CAE">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44E" w:rsidRDefault="00E9744E" w:rsidP="004C182E">
      <w:r>
        <w:separator/>
      </w:r>
    </w:p>
  </w:endnote>
  <w:endnote w:type="continuationSeparator" w:id="1">
    <w:p w:rsidR="00E9744E" w:rsidRDefault="00E9744E" w:rsidP="004C1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44E" w:rsidRDefault="00E9744E" w:rsidP="004C182E">
      <w:r>
        <w:separator/>
      </w:r>
    </w:p>
  </w:footnote>
  <w:footnote w:type="continuationSeparator" w:id="1">
    <w:p w:rsidR="00E9744E" w:rsidRDefault="00E9744E" w:rsidP="004C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CB13B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CB13B6" w:rsidP="00242F6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1743"/>
    <w:multiLevelType w:val="hybridMultilevel"/>
    <w:tmpl w:val="02FE272A"/>
    <w:lvl w:ilvl="0" w:tplc="567EB84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0"/>
    <w:footnote w:id="1"/>
  </w:footnotePr>
  <w:endnotePr>
    <w:endnote w:id="0"/>
    <w:endnote w:id="1"/>
  </w:endnotePr>
  <w:compat/>
  <w:rsids>
    <w:rsidRoot w:val="00077F67"/>
    <w:rsid w:val="00015C79"/>
    <w:rsid w:val="00060631"/>
    <w:rsid w:val="00077F67"/>
    <w:rsid w:val="00175181"/>
    <w:rsid w:val="001C1A71"/>
    <w:rsid w:val="00204D9A"/>
    <w:rsid w:val="00213029"/>
    <w:rsid w:val="00260942"/>
    <w:rsid w:val="00344D43"/>
    <w:rsid w:val="00362A31"/>
    <w:rsid w:val="003B61E8"/>
    <w:rsid w:val="003D24ED"/>
    <w:rsid w:val="00457B2B"/>
    <w:rsid w:val="004634E4"/>
    <w:rsid w:val="0046703D"/>
    <w:rsid w:val="00485EB4"/>
    <w:rsid w:val="004A7F24"/>
    <w:rsid w:val="004C182E"/>
    <w:rsid w:val="004E6C65"/>
    <w:rsid w:val="005243BA"/>
    <w:rsid w:val="00627C9B"/>
    <w:rsid w:val="00651827"/>
    <w:rsid w:val="00660FBC"/>
    <w:rsid w:val="006B3795"/>
    <w:rsid w:val="006E508D"/>
    <w:rsid w:val="006F7339"/>
    <w:rsid w:val="00715944"/>
    <w:rsid w:val="00782F40"/>
    <w:rsid w:val="007B1E50"/>
    <w:rsid w:val="0084627B"/>
    <w:rsid w:val="008649C7"/>
    <w:rsid w:val="00933AF0"/>
    <w:rsid w:val="00936B27"/>
    <w:rsid w:val="00AB3BE1"/>
    <w:rsid w:val="00B07322"/>
    <w:rsid w:val="00B2120D"/>
    <w:rsid w:val="00BE333E"/>
    <w:rsid w:val="00C32298"/>
    <w:rsid w:val="00C64720"/>
    <w:rsid w:val="00C825FA"/>
    <w:rsid w:val="00C97857"/>
    <w:rsid w:val="00CB13B6"/>
    <w:rsid w:val="00D11CAE"/>
    <w:rsid w:val="00D47CCB"/>
    <w:rsid w:val="00D879EF"/>
    <w:rsid w:val="00D93CC5"/>
    <w:rsid w:val="00DD74A8"/>
    <w:rsid w:val="00E21508"/>
    <w:rsid w:val="00E31789"/>
    <w:rsid w:val="00E6155E"/>
    <w:rsid w:val="00E9359C"/>
    <w:rsid w:val="00E9744E"/>
    <w:rsid w:val="00EA7AA5"/>
    <w:rsid w:val="00EC040F"/>
    <w:rsid w:val="00ED7FDF"/>
    <w:rsid w:val="00EE17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7"/>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uiPriority w:val="99"/>
    <w:qFormat/>
    <w:rsid w:val="003D24E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77F67"/>
  </w:style>
  <w:style w:type="character" w:customStyle="1" w:styleId="a3">
    <w:name w:val="Верхний колонтитул Знак"/>
    <w:link w:val="a4"/>
    <w:uiPriority w:val="99"/>
    <w:locked/>
    <w:rsid w:val="00C97857"/>
    <w:rPr>
      <w:sz w:val="24"/>
      <w:szCs w:val="24"/>
      <w:lang w:eastAsia="ru-RU"/>
    </w:rPr>
  </w:style>
  <w:style w:type="character" w:customStyle="1" w:styleId="a5">
    <w:name w:val="Основной текст Знак"/>
    <w:link w:val="a6"/>
    <w:uiPriority w:val="99"/>
    <w:locked/>
    <w:rsid w:val="00C97857"/>
    <w:rPr>
      <w:sz w:val="24"/>
      <w:szCs w:val="24"/>
      <w:lang w:val="ru-RU" w:eastAsia="ru-RU"/>
    </w:rPr>
  </w:style>
  <w:style w:type="paragraph" w:styleId="a6">
    <w:name w:val="Body Text"/>
    <w:basedOn w:val="a"/>
    <w:link w:val="a5"/>
    <w:uiPriority w:val="99"/>
    <w:rsid w:val="00C97857"/>
    <w:pPr>
      <w:spacing w:after="120"/>
    </w:pPr>
    <w:rPr>
      <w:rFonts w:asciiTheme="minorHAnsi" w:eastAsiaTheme="minorHAnsi" w:hAnsiTheme="minorHAnsi" w:cstheme="minorBidi"/>
      <w:color w:val="auto"/>
      <w:sz w:val="24"/>
      <w:szCs w:val="24"/>
      <w:lang w:val="ru-RU"/>
    </w:rPr>
  </w:style>
  <w:style w:type="character" w:customStyle="1" w:styleId="11">
    <w:name w:val="Основной текст Знак1"/>
    <w:basedOn w:val="a0"/>
    <w:link w:val="a6"/>
    <w:uiPriority w:val="99"/>
    <w:semiHidden/>
    <w:rsid w:val="00C97857"/>
    <w:rPr>
      <w:rFonts w:ascii="Times New Roman" w:eastAsia="Calibri" w:hAnsi="Times New Roman" w:cs="Times New Roman"/>
      <w:color w:val="00000A"/>
      <w:sz w:val="20"/>
      <w:szCs w:val="20"/>
      <w:lang w:eastAsia="ru-RU"/>
    </w:rPr>
  </w:style>
  <w:style w:type="paragraph" w:styleId="a7">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2"/>
    <w:uiPriority w:val="99"/>
    <w:rsid w:val="00C97857"/>
    <w:pPr>
      <w:suppressAutoHyphens/>
    </w:pPr>
    <w:rPr>
      <w:rFonts w:eastAsia="Times New Roman"/>
      <w:color w:val="auto"/>
      <w:sz w:val="24"/>
      <w:szCs w:val="24"/>
      <w:lang w:val="ru-RU"/>
    </w:rPr>
  </w:style>
  <w:style w:type="paragraph" w:styleId="a4">
    <w:name w:val="header"/>
    <w:basedOn w:val="a"/>
    <w:link w:val="a3"/>
    <w:uiPriority w:val="99"/>
    <w:rsid w:val="00C97857"/>
    <w:pPr>
      <w:tabs>
        <w:tab w:val="center" w:pos="4819"/>
        <w:tab w:val="right" w:pos="9639"/>
      </w:tabs>
    </w:pPr>
    <w:rPr>
      <w:rFonts w:asciiTheme="minorHAnsi" w:eastAsiaTheme="minorHAnsi" w:hAnsiTheme="minorHAnsi" w:cstheme="minorBidi"/>
      <w:color w:val="auto"/>
      <w:sz w:val="24"/>
      <w:szCs w:val="24"/>
    </w:rPr>
  </w:style>
  <w:style w:type="character" w:customStyle="1" w:styleId="13">
    <w:name w:val="Верхний колонтитул Знак1"/>
    <w:basedOn w:val="a0"/>
    <w:link w:val="a4"/>
    <w:uiPriority w:val="99"/>
    <w:semiHidden/>
    <w:rsid w:val="00C97857"/>
    <w:rPr>
      <w:rFonts w:ascii="Times New Roman" w:eastAsia="Calibri" w:hAnsi="Times New Roman" w:cs="Times New Roman"/>
      <w:color w:val="00000A"/>
      <w:sz w:val="20"/>
      <w:szCs w:val="20"/>
      <w:lang w:eastAsia="ru-RU"/>
    </w:rPr>
  </w:style>
  <w:style w:type="paragraph" w:customStyle="1" w:styleId="21">
    <w:name w:val="Основной текст с отступом 21"/>
    <w:basedOn w:val="a"/>
    <w:uiPriority w:val="99"/>
    <w:rsid w:val="00C97857"/>
    <w:pPr>
      <w:suppressAutoHyphens/>
      <w:spacing w:after="120" w:line="480" w:lineRule="auto"/>
      <w:ind w:left="283"/>
    </w:pPr>
    <w:rPr>
      <w:rFonts w:eastAsia="Times New Roman"/>
      <w:color w:val="auto"/>
      <w:sz w:val="24"/>
      <w:szCs w:val="24"/>
      <w:lang w:eastAsia="ar-SA"/>
    </w:rPr>
  </w:style>
  <w:style w:type="character" w:customStyle="1" w:styleId="12">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7"/>
    <w:uiPriority w:val="99"/>
    <w:locked/>
    <w:rsid w:val="00C9785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C97857"/>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EE17FF"/>
    <w:pPr>
      <w:widowControl w:val="0"/>
      <w:suppressAutoHyphens/>
      <w:spacing w:line="310" w:lineRule="exact"/>
      <w:jc w:val="center"/>
    </w:pPr>
    <w:rPr>
      <w:rFonts w:ascii="Franklin Gothic Medium" w:hAnsi="Franklin Gothic Medium" w:cs="Franklin Gothic Medium"/>
      <w:color w:val="auto"/>
      <w:kern w:val="1"/>
      <w:sz w:val="24"/>
      <w:szCs w:val="24"/>
      <w:lang w:val="ru-RU" w:eastAsia="zh-CN"/>
    </w:rPr>
  </w:style>
  <w:style w:type="character" w:customStyle="1" w:styleId="10">
    <w:name w:val="Заголовок 1 Знак"/>
    <w:basedOn w:val="a0"/>
    <w:link w:val="1"/>
    <w:uiPriority w:val="99"/>
    <w:rsid w:val="003D24ED"/>
    <w:rPr>
      <w:rFonts w:ascii="Arial" w:eastAsia="Times New Roman" w:hAnsi="Arial" w:cs="Arial"/>
      <w:b/>
      <w:bCs/>
      <w:color w:val="00000A"/>
      <w:kern w:val="32"/>
      <w:sz w:val="32"/>
      <w:szCs w:val="32"/>
      <w:lang w:eastAsia="ru-RU"/>
    </w:rPr>
  </w:style>
  <w:style w:type="paragraph" w:styleId="a8">
    <w:name w:val="footer"/>
    <w:basedOn w:val="a"/>
    <w:link w:val="a9"/>
    <w:uiPriority w:val="99"/>
    <w:semiHidden/>
    <w:unhideWhenUsed/>
    <w:rsid w:val="003D24ED"/>
    <w:pPr>
      <w:tabs>
        <w:tab w:val="center" w:pos="4819"/>
        <w:tab w:val="right" w:pos="9639"/>
      </w:tabs>
    </w:pPr>
  </w:style>
  <w:style w:type="character" w:customStyle="1" w:styleId="a9">
    <w:name w:val="Нижний колонтитул Знак"/>
    <w:basedOn w:val="a0"/>
    <w:link w:val="a8"/>
    <w:uiPriority w:val="99"/>
    <w:semiHidden/>
    <w:rsid w:val="003D24ED"/>
    <w:rPr>
      <w:rFonts w:ascii="Times New Roman" w:eastAsia="Calibri"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2517</Words>
  <Characters>1436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2022-09-28T12:07:00Z</cp:lastPrinted>
  <dcterms:created xsi:type="dcterms:W3CDTF">2023-06-01T12:56:00Z</dcterms:created>
  <dcterms:modified xsi:type="dcterms:W3CDTF">2024-03-12T09:20:00Z</dcterms:modified>
</cp:coreProperties>
</file>