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9A" w:rsidRDefault="00E3459A" w:rsidP="00586C5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59A" w:rsidRDefault="00E345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ДОГОВІР №</w:t>
      </w:r>
    </w:p>
    <w:p w:rsidR="00E3459A" w:rsidRDefault="00E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59A" w:rsidRDefault="00E34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Львів                                                                                            " ___ " _________ 2024 р.</w:t>
      </w:r>
    </w:p>
    <w:p w:rsidR="00E3459A" w:rsidRDefault="00E3459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3459A" w:rsidRDefault="00E3459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в особі _____________________________________, який діє на підставі __________________________________________, (далі – Постачальник), з однієї сторони, та </w:t>
      </w:r>
      <w:r w:rsidRPr="00AA0B80">
        <w:rPr>
          <w:rFonts w:ascii="Times New Roman" w:hAnsi="Times New Roman" w:cs="Times New Roman"/>
          <w:sz w:val="24"/>
          <w:szCs w:val="24"/>
        </w:rPr>
        <w:t>Державна митна служба України, в особі Львівської митниці, як її відокремленого підрозділу, що у зоні своєї діяльності забезпечує реалізацію делегованих повноважень Державної митної служби України (далі – Покупець), в особі  в.о. начальника Львівської митниці</w:t>
      </w:r>
      <w:r>
        <w:rPr>
          <w:rFonts w:ascii="Times New Roman" w:hAnsi="Times New Roman" w:cs="Times New Roman"/>
          <w:sz w:val="24"/>
          <w:szCs w:val="24"/>
        </w:rPr>
        <w:t xml:space="preserve"> Кузніка Андрія Юрійовича</w:t>
      </w:r>
      <w:r w:rsidRPr="00AA0B80">
        <w:rPr>
          <w:rFonts w:ascii="Times New Roman" w:hAnsi="Times New Roman" w:cs="Times New Roman"/>
          <w:sz w:val="24"/>
          <w:szCs w:val="24"/>
        </w:rPr>
        <w:t>, який (яка) діє на підставі Положення про Львівську митницю, з</w:t>
      </w:r>
      <w:r>
        <w:rPr>
          <w:rFonts w:ascii="Times New Roman" w:hAnsi="Times New Roman" w:cs="Times New Roman"/>
          <w:sz w:val="24"/>
          <w:szCs w:val="24"/>
        </w:rPr>
        <w:t xml:space="preserve"> іншої сторони, разом – Сторони, а кожний окремо – Сторона, уклали цей договір (далі – Договір) про таке:</w:t>
      </w:r>
    </w:p>
    <w:p w:rsidR="00E3459A" w:rsidRDefault="00E3459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3459A" w:rsidRDefault="00E3459A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договору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Постачальник зобов’язується у визначений цим Договором строк передати у власність Покупця Туалетний папір, рушник паперовий, серветки </w:t>
      </w:r>
      <w:r>
        <w:rPr>
          <w:rFonts w:ascii="Times New Roman" w:hAnsi="Times New Roman" w:cs="Times New Roman"/>
          <w:sz w:val="25"/>
          <w:szCs w:val="25"/>
          <w:highlight w:val="white"/>
        </w:rPr>
        <w:t>за кодом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A0B80">
        <w:rPr>
          <w:rFonts w:ascii="Times New Roman" w:hAnsi="Times New Roman" w:cs="Times New Roman"/>
          <w:b/>
          <w:sz w:val="24"/>
          <w:szCs w:val="24"/>
        </w:rPr>
        <w:t xml:space="preserve">ДК 021:2015 </w:t>
      </w:r>
      <w:r>
        <w:rPr>
          <w:rFonts w:ascii="Times New Roman" w:hAnsi="Times New Roman" w:cs="Times New Roman"/>
          <w:b/>
          <w:sz w:val="24"/>
          <w:szCs w:val="24"/>
        </w:rPr>
        <w:t>-33760000-5</w:t>
      </w:r>
      <w:r w:rsidRPr="00AA0B8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Туалетний папір, носові хустинки, рушники для рук і серветки</w:t>
      </w:r>
      <w:r>
        <w:rPr>
          <w:rFonts w:ascii="Times New Roman" w:hAnsi="Times New Roman" w:cs="Times New Roman"/>
          <w:sz w:val="24"/>
          <w:szCs w:val="24"/>
          <w:highlight w:val="white"/>
        </w:rPr>
        <w:t>, зазначений в Специфікації (далі – Специфікація) Додаток 1 до цього Договору, що є невід’ємною частиною цього Договору (далі – Товар), а Покупець – прийняти і оплатити такий Товар.</w:t>
      </w:r>
    </w:p>
    <w:p w:rsidR="00E3459A" w:rsidRPr="00461631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1.2. Товар повинен відповідати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пецифікації (Додаток  </w:t>
      </w:r>
      <w:r w:rsidRPr="00461631">
        <w:rPr>
          <w:rFonts w:ascii="Times New Roman" w:hAnsi="Times New Roman" w:cs="Times New Roman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) до цього Договору </w:t>
      </w:r>
      <w:r>
        <w:rPr>
          <w:rFonts w:ascii="Times New Roman" w:hAnsi="Times New Roman" w:cs="Times New Roman"/>
          <w:sz w:val="24"/>
          <w:szCs w:val="24"/>
        </w:rPr>
        <w:t>що є невід’ємною частиною цього Договору</w:t>
      </w:r>
      <w:r w:rsidRPr="00461631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Якість товару</w:t>
      </w:r>
    </w:p>
    <w:p w:rsidR="00E3459A" w:rsidRDefault="00E3459A" w:rsidP="0037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Постачальник повинен поставити Покупцеві Товар, якість якого відповідає технічним та іншим нормам, стандартам та правилам, які встановлені для даного виду товару діючим законодавством України.</w:t>
      </w:r>
    </w:p>
    <w:p w:rsidR="00E3459A" w:rsidRDefault="00E3459A" w:rsidP="00373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Товари повинні бути новими та такими, що не були у використанні, в</w:t>
      </w:r>
      <w:r>
        <w:rPr>
          <w:rFonts w:ascii="Times New Roman" w:hAnsi="Times New Roman" w:cs="Times New Roman"/>
          <w:sz w:val="25"/>
          <w:szCs w:val="25"/>
        </w:rPr>
        <w:t xml:space="preserve"> оригінальній упаковці виробника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59A" w:rsidRDefault="00E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2.3. Строк придатності Товару зазначається виробником.</w:t>
      </w:r>
    </w:p>
    <w:p w:rsidR="00E3459A" w:rsidRDefault="00E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Вартість договору</w:t>
      </w:r>
    </w:p>
    <w:p w:rsidR="00E3459A" w:rsidRDefault="00E3459A" w:rsidP="00AA0B8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Загальна сума цього Договору становить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AA0B80">
        <w:rPr>
          <w:rFonts w:ascii="Times New Roman" w:hAnsi="Times New Roman" w:cs="Times New Roman"/>
          <w:b/>
          <w:sz w:val="24"/>
          <w:szCs w:val="24"/>
        </w:rPr>
        <w:t>грн.  (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AA0B80">
        <w:rPr>
          <w:rFonts w:ascii="Times New Roman" w:hAnsi="Times New Roman" w:cs="Times New Roman"/>
          <w:b/>
          <w:sz w:val="24"/>
          <w:szCs w:val="24"/>
        </w:rPr>
        <w:t xml:space="preserve">грн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AA0B80">
        <w:rPr>
          <w:rFonts w:ascii="Times New Roman" w:hAnsi="Times New Roman" w:cs="Times New Roman"/>
          <w:b/>
          <w:sz w:val="24"/>
          <w:szCs w:val="24"/>
        </w:rPr>
        <w:t xml:space="preserve"> копійок)</w:t>
      </w:r>
      <w:r>
        <w:rPr>
          <w:rFonts w:ascii="Times New Roman" w:hAnsi="Times New Roman" w:cs="Times New Roman"/>
          <w:sz w:val="24"/>
          <w:szCs w:val="24"/>
        </w:rPr>
        <w:t xml:space="preserve">, у тому числі з/без ПДВ. 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Сума цього Договору може бути зменшена за взаємною згодою Сторін.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Ціна за одиницю Товару наведена у Специфікації.</w:t>
      </w:r>
    </w:p>
    <w:p w:rsidR="00E3459A" w:rsidRDefault="00E3459A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>
      <w:pPr>
        <w:widowControl w:val="0"/>
        <w:tabs>
          <w:tab w:val="left" w:pos="708"/>
        </w:tabs>
        <w:spacing w:after="0" w:line="240" w:lineRule="auto"/>
        <w:ind w:left="1296" w:hanging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здійснення оплати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Оплата Товару здійснюється протягом 30 календарних днів з моменту поставки Товару </w:t>
      </w:r>
      <w:r>
        <w:rPr>
          <w:rFonts w:ascii="Times New Roman" w:hAnsi="Times New Roman" w:cs="Times New Roman"/>
          <w:sz w:val="25"/>
          <w:szCs w:val="25"/>
        </w:rPr>
        <w:t>на підставі видаткової накладної</w:t>
      </w:r>
      <w:r>
        <w:rPr>
          <w:rFonts w:ascii="Times New Roman" w:hAnsi="Times New Roman" w:cs="Times New Roman"/>
          <w:sz w:val="24"/>
          <w:szCs w:val="24"/>
        </w:rPr>
        <w:t xml:space="preserve">. Оплата здійснюється відповідно до ст. 49 Бюджетного кодексу України. </w:t>
      </w:r>
    </w:p>
    <w:p w:rsidR="00E3459A" w:rsidRDefault="00E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 За відсутності у зазначеному періоді на відповідному рахунку Покупця коштів, виділених на оплату зобов’язань згідно з цим Договором або необґрунтованої відмови Державної казначейської служби України або її відділення від реєстрації бюджетного зобов’язання, оплату Покупець здійснює протягом 7 (семи) банківських днів з моменту надходження коштів на рахунок Покупця або протягом 7 (семи) банківських днів з моменту реєстрації Казначейством відповідного бюджетного зобов’язання та будь-які штрафні санкції в такому випадку до Покупця не застосовуються</w:t>
      </w:r>
    </w:p>
    <w:p w:rsidR="00E3459A" w:rsidRDefault="00E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Фінансування здійснюється за кошти Державного бюджету України</w:t>
      </w:r>
      <w:r>
        <w:rPr>
          <w:rFonts w:ascii="Times New Roman" w:hAnsi="Times New Roman" w:cs="Times New Roman"/>
          <w:b/>
          <w:sz w:val="24"/>
          <w:szCs w:val="24"/>
        </w:rPr>
        <w:t>(КПКВ 3506010, КЕКВ 2210)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59A" w:rsidRDefault="00E3459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4.4.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поставленого Товару.</w:t>
      </w:r>
    </w:p>
    <w:p w:rsidR="00E3459A" w:rsidRDefault="00E345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Поставка Товару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5.1. Строк поставки: з дати підписання цього Договору – до 31.12.2024р. Допускається дострокова поставка Товару</w:t>
      </w:r>
      <w:r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. 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bookmarkStart w:id="1" w:name="_heading=h.vzz6jkvmomzy" w:colFirst="0" w:colLast="0"/>
      <w:bookmarkStart w:id="2" w:name="_heading=h.wosa5n4lx5p" w:colFirst="0" w:colLast="0"/>
      <w:bookmarkEnd w:id="1"/>
      <w:bookmarkEnd w:id="2"/>
      <w:r>
        <w:rPr>
          <w:rFonts w:ascii="Times New Roman" w:hAnsi="Times New Roman" w:cs="Times New Roman"/>
          <w:sz w:val="24"/>
          <w:szCs w:val="24"/>
          <w:highlight w:val="white"/>
        </w:rPr>
        <w:t xml:space="preserve">5.2. Місце поставки Товару: </w:t>
      </w:r>
      <w:smartTag w:uri="urn:schemas-microsoft-com:office:smarttags" w:element="metricconverter">
        <w:smartTagPr>
          <w:attr w:name="ProductID" w:val="79000, м"/>
        </w:smartTagPr>
        <w:r w:rsidRPr="001350EC">
          <w:rPr>
            <w:rFonts w:ascii="Times New Roman" w:hAnsi="Times New Roman" w:cs="Times New Roman"/>
            <w:b/>
            <w:sz w:val="24"/>
            <w:szCs w:val="24"/>
            <w:highlight w:val="white"/>
          </w:rPr>
          <w:t>79000, м</w:t>
        </w:r>
      </w:smartTag>
      <w:r w:rsidRPr="001350EC">
        <w:rPr>
          <w:rFonts w:ascii="Times New Roman" w:hAnsi="Times New Roman" w:cs="Times New Roman"/>
          <w:b/>
          <w:sz w:val="24"/>
          <w:szCs w:val="24"/>
          <w:highlight w:val="white"/>
        </w:rPr>
        <w:t>. Львів, вул.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Городоцька, 369</w:t>
      </w:r>
      <w:r w:rsidRPr="001350EC">
        <w:rPr>
          <w:rFonts w:ascii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Покупець залишає за собою право змінити місце поставки Товару, про що Сторони укладають </w:t>
      </w:r>
      <w:r>
        <w:rPr>
          <w:rFonts w:ascii="Times New Roman" w:hAnsi="Times New Roman" w:cs="Times New Roman"/>
          <w:sz w:val="24"/>
          <w:szCs w:val="24"/>
        </w:rPr>
        <w:t>Додаткову угоду до цього Договору, яка є його невід’ємною частиною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Відвантаження Постачальником не вказаних у Специфікації товарів не допускається. Відвантажений Постачальником з порушенням цього пункту Товари не підлягають оплаті Покупцем.</w:t>
      </w:r>
    </w:p>
    <w:p w:rsidR="00E3459A" w:rsidRDefault="00E3459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 5.4. На момент поставки Товару Постачальник надає видаткову накладну  на Товар.</w:t>
      </w:r>
    </w:p>
    <w:p w:rsidR="00E3459A" w:rsidRDefault="00E3459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 5.5. Неналежне оформлення Постачальником документів, зазначених в п.5.4  цього Договору або відсутність хоча б одного із цих документів вважається простроченням Постачальника, до усунення якого Покупець має право відстрочити виконання своїх зобов'язання з оплати Товару.</w:t>
      </w:r>
    </w:p>
    <w:p w:rsidR="00E3459A" w:rsidRDefault="00E3459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 5.6. Якщо поставлений Товар не відповідає умовам цього Договору, Покупець має право не приймати такий Товар. </w:t>
      </w:r>
    </w:p>
    <w:p w:rsidR="00E3459A" w:rsidRDefault="00E3459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 5.7. У разі виявлення неналежної якості переданих Товарів, Покупець має право, незалежно від можливості використання Товару за призначенням, вимагати від Постачальника заміну Товару на Товар належної якості. </w:t>
      </w:r>
    </w:p>
    <w:p w:rsidR="00E3459A" w:rsidRDefault="00E3459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 5.8. Постачальник несе всі витрати, пов'язані з поставкою Товару, в тому числі транспортні витрати, а також всі ризики втрати або пошкодження Товару до моменту передачі Товару Покупцю в місці поставки.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Права та обов’язки Сторін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6.1. Покупець зобов’язаний: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Товар;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Приймати поставлений Товар у порядку, визначеному цим Договором;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6.2. Покупець має право: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Достроково розірвати цей Договір у разі невиконання зобов’язань Постачальником, повідомивши про це його у строк 10 календарних днів до дати розірвання;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 Зменшувати обсяг закупівлі Товару з урахуванням фактичного обсягу видатків                    Покупця. У такому разі Сторони вносять відповідні зміни до цього Договору;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Не здійснювати оплату, в разі неналежного оформлення документів, зазначених в п.5.4. (відсутність печатки, підписів тощо);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6.2.5. Відмовитись від прийняття Товарів у разі їх невідповідності якості Технічній специфікації, умовам поставки та відстрочити виконання своїх зобов’язань з оплати товарів до усунення недоліків, зазначених у претензії Покупця.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6.3. Постачальник зобов’язаний: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 Забезпечити поставку Товару у строки, встановлені цим Договором;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 Забезпечити поставку Товару, якість якого відповідає умовам, встановленим розділом 2 цього Договору;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6.3.3. Надати Покупцю документи, зазначені в п.п. 5.4. цього Договору; 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 Забезпечити за власний рахунок усунення претензій, що виникають у Покупця у зв’язку з нестачею, недоліками, невідповідністю вимогам по якості, кількості Товарів;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6.3.5. У разі поставки Товарів неналежної якості замінити такі Товари відповідною кількістю товарів належної якості;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6.3.6. Негайно письмово інформувати Покупця про ускладнення, які виникають в ході виконання своїх зобов’язань за цим Договором або про наявність обставин, що впливають на якість Товарів, строки поставки Товарів;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6.3.7. Належним чином виконувати інші обов’язки, передбачені цим Договором.</w:t>
      </w:r>
    </w:p>
    <w:p w:rsidR="00E3459A" w:rsidRDefault="00E3459A">
      <w:pPr>
        <w:keepNext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6.4. Постачальник має право: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 Своєчасно та в повному обсязі отримувати плату за поставлений Товар, на умовах цього Договору;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 На дострокову поставку Товару за погодженням Покупця;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 У разі невиконання зобов’язань Покупцем Постачальник має право достроково розірвати цей Договір, повідомивши його за 10 календарних днів до дати розірвання Договору.</w:t>
      </w: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Відповідальність Сторін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У разі невиконання або неналежного виконання своїх зобов’язань за цим Договором Сторони несуть відповідальність, передбачену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 </w:t>
      </w:r>
      <w:r>
        <w:rPr>
          <w:rFonts w:ascii="Times New Roman" w:hAnsi="Times New Roman" w:cs="Times New Roman"/>
          <w:sz w:val="24"/>
          <w:szCs w:val="24"/>
        </w:rPr>
        <w:t>та цим Договором.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Товарів. 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Сплата штрафу не звільняє Постачальника від обов’язку замінити неякісні Товари на належні у випадках, визначених цим Договором.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За порушення строків поставки Товарів або недопоставку Товарів Постачальник сплачує Покупцю пеню в розмірі 0,1 відсотка вартості Товарів, поставку яких построчено та/або недопоставлено, за кожний день такого прострочення, а за прострочення поставки Товарів понад тридцять днів Постачальник додатково сплачує штраф у розмірі 7 (сім) відсотків вартості Товарів, поставку яких прострочено.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У разі порушення Покупцем строків оплати за цим Договором, Покупець сплачує Постачальнику пеню в розмірі 0,1 відсотка від суми простроченого платежу за кожний день прострочення платежу, але не більше подвійної  облікової  ставки Національного   банку України, що діяла у період, за який сплачується пеня.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 Оплата штрафних санкцій не звільняє винну Сторону від обов’язку виконати всі свої зобов’язання за цим Договором.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 Одностороння відмова від виконання зобов’язань за договором не допускається, крім випадків, передбачених цим Договором.</w:t>
      </w: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Обставини непереборної сили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цього Договору та виникли поза волею Сторін (аварія, катастрофа, стихійне лихо, епідемія, масові заворушення, війна тощо).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Сторона, що не може виконувати зобов’язання за цим Договором унаслідок дії обставин непереборної сили, повинна не пізніше ніж протягом 30 днів з моменту їх виникнення повідомити про це іншу Сторону у письмовій формі.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Доказом виникнення обставин непереборної сили та строку їх дії є відповідні документи, які видаються Торгово-промисловою палатою.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 У разі коли строк дії обставин непереборної сили продовжується більше ніж 30 календарних днів, кожна із Сторін в установленому порядку має право розірвати цей Договір.</w:t>
      </w: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Вирішення спорів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 У разі недосягнення Сторонами згоди спори (розбіжності) вирішуються у судовому порядку.</w:t>
      </w:r>
    </w:p>
    <w:p w:rsidR="00E3459A" w:rsidRDefault="00E3459A" w:rsidP="00AD0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Строк дії договору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 Цей Договір вважається укладеним і набирає чинності з моменту його підписання Сторонами, скріплення печатками (у разі їх наявності) та </w:t>
      </w:r>
      <w:r>
        <w:rPr>
          <w:rFonts w:ascii="Times New Roman" w:hAnsi="Times New Roman" w:cs="Times New Roman"/>
          <w:b/>
          <w:sz w:val="24"/>
          <w:szCs w:val="24"/>
        </w:rPr>
        <w:t>діє до 31.12.2024</w:t>
      </w:r>
      <w:r w:rsidRPr="001146A7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>. В частині розрахунків договір діє до повного його виконання.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 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Покупця.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Порядок зміни умов Договору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 Всі зміни і доповнення до цього Договору можуть бути внесеними тільки за домовленістю Сторін, складаються в письмовій формі, підписуються уповноваженими представниками Сторін, що оформлюється Додатковою угодою до цього Договору, яка є невід’ємною частиною до цього Договору.</w:t>
      </w:r>
    </w:p>
    <w:p w:rsidR="00E3459A" w:rsidRPr="00461631" w:rsidRDefault="00E345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11.2. Жодна зі Сторін не може передавати свої права та/або обов’язки за цим Договором третім особам без письмової згоди другої Сторони Договору.</w:t>
      </w:r>
    </w:p>
    <w:p w:rsidR="00E3459A" w:rsidRPr="00701E1A" w:rsidRDefault="00E3459A" w:rsidP="00701E1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1631">
        <w:rPr>
          <w:rFonts w:ascii="Times New Roman" w:hAnsi="Times New Roman" w:cs="Times New Roman"/>
          <w:sz w:val="24"/>
          <w:szCs w:val="24"/>
          <w:lang w:val="ru-RU"/>
        </w:rPr>
        <w:t xml:space="preserve">11.3. </w:t>
      </w:r>
      <w:r w:rsidRPr="00701E1A">
        <w:rPr>
          <w:rFonts w:ascii="Times New Roman" w:hAnsi="Times New Roman" w:cs="Times New Roman"/>
          <w:sz w:val="24"/>
          <w:szCs w:val="24"/>
          <w:lang w:eastAsia="ar-S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E3459A" w:rsidRPr="00B33E04" w:rsidRDefault="00E3459A" w:rsidP="00B33E0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E1A">
        <w:rPr>
          <w:rFonts w:ascii="Times New Roman" w:hAnsi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E3459A" w:rsidRPr="00B33E04" w:rsidRDefault="00E3459A" w:rsidP="00B33E0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3E04">
        <w:rPr>
          <w:rFonts w:ascii="Times New Roman" w:hAnsi="Times New Roman"/>
          <w:sz w:val="24"/>
          <w:szCs w:val="24"/>
        </w:rPr>
        <w:t>2) погодження зміни ціни за одиницю товару в договорі про закупівлю у разі коливання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ціни такого товару на ринку, що відбулося з моменту укладення договору про закупівлю або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останнього внесення змін до договору про закупівлю в частині зміни ціни за одиницю товару.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Зміна ціни за одиницю товару здійснюється пропорційно коливанню ціни такого товару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ринку (відсоток збільшення ціни за одиницю товару не може перевищувати відсоток коливання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(збільшення) ціни такого товару на ринку) за умови документального підтвердження 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коливання та не повинна призвести до збільшення суми, визначеної в договорі про закупівлю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3E04">
        <w:rPr>
          <w:rFonts w:ascii="Times New Roman" w:hAnsi="Times New Roman"/>
          <w:sz w:val="24"/>
          <w:szCs w:val="24"/>
        </w:rPr>
        <w:t>момент його укладення;</w:t>
      </w:r>
    </w:p>
    <w:p w:rsidR="00E3459A" w:rsidRPr="00B65E5F" w:rsidRDefault="00E3459A" w:rsidP="00701E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65E5F">
        <w:rPr>
          <w:rFonts w:ascii="Times New Roman" w:hAnsi="Times New Roman"/>
          <w:sz w:val="24"/>
          <w:szCs w:val="24"/>
        </w:rPr>
        <w:t>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E3459A" w:rsidRPr="00B65E5F" w:rsidRDefault="00E3459A" w:rsidP="00701E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5E5F">
        <w:rPr>
          <w:rFonts w:ascii="Times New Roman" w:hAnsi="Times New Roman"/>
          <w:sz w:val="24"/>
          <w:szCs w:val="24"/>
        </w:rPr>
        <w:t>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E3459A" w:rsidRPr="00B65E5F" w:rsidRDefault="00E3459A" w:rsidP="00701E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65E5F">
        <w:rPr>
          <w:rFonts w:ascii="Times New Roman" w:hAnsi="Times New Roman"/>
          <w:sz w:val="24"/>
          <w:szCs w:val="24"/>
        </w:rPr>
        <w:t>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E3459A" w:rsidRPr="00461631" w:rsidRDefault="00E3459A" w:rsidP="00701E1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6</w:t>
      </w:r>
      <w:r w:rsidRPr="00B65E5F">
        <w:rPr>
          <w:rFonts w:ascii="Times New Roman" w:hAnsi="Times New Roman"/>
          <w:sz w:val="24"/>
          <w:szCs w:val="24"/>
        </w:rPr>
        <w:t xml:space="preserve">) зміни умов у зв’язку із </w:t>
      </w:r>
      <w:r>
        <w:rPr>
          <w:rFonts w:ascii="Times New Roman" w:hAnsi="Times New Roman"/>
          <w:sz w:val="24"/>
          <w:szCs w:val="24"/>
        </w:rPr>
        <w:t>продовженням дії цьо</w:t>
      </w:r>
      <w:r w:rsidRPr="0094784E">
        <w:rPr>
          <w:rFonts w:ascii="Times New Roman" w:hAnsi="Times New Roman"/>
          <w:sz w:val="24"/>
          <w:szCs w:val="24"/>
        </w:rPr>
        <w:t xml:space="preserve">го Договору на строк, </w:t>
      </w:r>
      <w:r w:rsidRPr="0094784E">
        <w:rPr>
          <w:rFonts w:ascii="Times New Roman" w:hAnsi="Times New Roman"/>
          <w:sz w:val="24"/>
          <w:szCs w:val="24"/>
          <w:lang w:eastAsia="ar-SA"/>
        </w:rPr>
        <w:t>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E3459A" w:rsidRDefault="00E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</w:t>
      </w:r>
      <w:r w:rsidRPr="004616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в цьому Договорі, реорганізацію, припинення Сторони у 5-ти денний строк з дня виникнення відповідних змін.</w:t>
      </w:r>
    </w:p>
    <w:p w:rsidR="00E3459A" w:rsidRDefault="00E3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</w:t>
      </w:r>
      <w:r w:rsidRPr="00461631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. З будь-яких питань, що не врегульовані цим Договором, Сторони керуються чинним законодавством України.</w:t>
      </w: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Додатки до договору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 Додаткові договори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 Невід’ємною частиною цього Договору є:</w:t>
      </w: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3459A" w:rsidRDefault="00E3459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12.2.1. Специфікація (Додаток № 1);</w:t>
      </w:r>
    </w:p>
    <w:p w:rsidR="00E3459A" w:rsidRDefault="00E34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Місцезнаходження та банківські реквізити Сторін</w:t>
      </w:r>
    </w:p>
    <w:tbl>
      <w:tblPr>
        <w:tblW w:w="945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920"/>
        <w:gridCol w:w="4536"/>
      </w:tblGrid>
      <w:tr w:rsidR="00E3459A" w:rsidTr="00E61984">
        <w:trPr>
          <w:trHeight w:val="20"/>
        </w:trPr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59A" w:rsidRPr="00E61984" w:rsidRDefault="00E3459A" w:rsidP="00E61984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bookmarkStart w:id="3" w:name="_heading=h.3znysh7" w:colFirst="0" w:colLast="0"/>
            <w:bookmarkEnd w:id="3"/>
            <w:r w:rsidRPr="00E61984">
              <w:rPr>
                <w:rFonts w:ascii="Times New Roman" w:hAnsi="Times New Roman" w:cs="Times New Roman"/>
              </w:rPr>
              <w:t>Покупець: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  <w:b/>
              </w:rPr>
            </w:pPr>
            <w:r w:rsidRPr="00E61984">
              <w:rPr>
                <w:rFonts w:ascii="Times New Roman" w:hAnsi="Times New Roman"/>
                <w:b/>
              </w:rPr>
              <w:t>Державна митна служба України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  <w:b/>
              </w:rPr>
            </w:pPr>
            <w:r w:rsidRPr="00E61984">
              <w:rPr>
                <w:rFonts w:ascii="Times New Roman" w:hAnsi="Times New Roman"/>
                <w:b/>
              </w:rPr>
              <w:t>Львівська митниця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79000, м. Львів, вул. Костюшка, 1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ЄДРПОУ 43971343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МФО 820172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р/рUA708201720343150001000160947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р/рUA868201720343141001200160947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в Державній казначейській службі України</w:t>
            </w:r>
          </w:p>
          <w:p w:rsidR="00E3459A" w:rsidRPr="00E61984" w:rsidRDefault="00E3459A" w:rsidP="001146A7">
            <w:pPr>
              <w:pStyle w:val="11"/>
              <w:rPr>
                <w:sz w:val="20"/>
                <w:szCs w:val="20"/>
              </w:rPr>
            </w:pPr>
          </w:p>
          <w:p w:rsidR="00E3459A" w:rsidRPr="00E61984" w:rsidRDefault="00E3459A" w:rsidP="00E61984">
            <w:pPr>
              <w:pStyle w:val="12"/>
              <w:jc w:val="both"/>
              <w:rPr>
                <w:lang w:val="uk-UA"/>
              </w:rPr>
            </w:pPr>
            <w:r w:rsidRPr="00E61984">
              <w:rPr>
                <w:lang w:val="uk-UA"/>
              </w:rPr>
              <w:t>Тел.032258-99-52</w:t>
            </w:r>
          </w:p>
          <w:p w:rsidR="00E3459A" w:rsidRPr="00E61984" w:rsidRDefault="00E3459A" w:rsidP="00E61984">
            <w:pPr>
              <w:pStyle w:val="12"/>
              <w:jc w:val="both"/>
              <w:rPr>
                <w:lang w:val="en-US"/>
              </w:rPr>
            </w:pPr>
            <w:r w:rsidRPr="00E61984">
              <w:rPr>
                <w:lang w:val="en-US"/>
              </w:rPr>
              <w:t>e</w:t>
            </w:r>
            <w:r w:rsidRPr="00461631">
              <w:rPr>
                <w:lang w:val="en-GB"/>
              </w:rPr>
              <w:t>-</w:t>
            </w:r>
            <w:r w:rsidRPr="00E61984">
              <w:rPr>
                <w:lang w:val="en-US"/>
              </w:rPr>
              <w:t>mail</w:t>
            </w:r>
            <w:r w:rsidRPr="00E61984">
              <w:rPr>
                <w:lang w:val="uk-UA"/>
              </w:rPr>
              <w:t xml:space="preserve">: </w:t>
            </w:r>
            <w:hyperlink r:id="rId6" w:history="1">
              <w:r w:rsidRPr="00E61984">
                <w:rPr>
                  <w:rStyle w:val="Hyperlink"/>
                  <w:lang w:val="en-US"/>
                </w:rPr>
                <w:t>lv.post@customs.gov.ua</w:t>
              </w:r>
            </w:hyperlink>
          </w:p>
          <w:p w:rsidR="00E3459A" w:rsidRPr="00E61984" w:rsidRDefault="00E3459A" w:rsidP="001146A7">
            <w:pPr>
              <w:rPr>
                <w:rFonts w:ascii="Times New Roman" w:hAnsi="Times New Roman"/>
              </w:rPr>
            </w:pP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 xml:space="preserve">В.о. начальника </w:t>
            </w:r>
          </w:p>
          <w:p w:rsidR="00E3459A" w:rsidRPr="00E61984" w:rsidRDefault="00E3459A" w:rsidP="001146A7">
            <w:pPr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Львівської митниці</w:t>
            </w:r>
          </w:p>
          <w:p w:rsidR="00E3459A" w:rsidRPr="00E61984" w:rsidRDefault="00E3459A" w:rsidP="001146A7">
            <w:pPr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_________________Андрій КУЗНІК</w:t>
            </w:r>
          </w:p>
          <w:p w:rsidR="00E3459A" w:rsidRPr="00E61984" w:rsidRDefault="00E3459A" w:rsidP="0022520C">
            <w:pPr>
              <w:rPr>
                <w:rFonts w:ascii="Times New Roman" w:hAnsi="Times New Roman" w:cs="Times New Roman"/>
              </w:rPr>
            </w:pPr>
            <w:r w:rsidRPr="00E61984">
              <w:rPr>
                <w:rFonts w:ascii="Times New Roman" w:hAnsi="Times New Roman"/>
              </w:rPr>
              <w:t>МП</w:t>
            </w:r>
          </w:p>
        </w:tc>
        <w:tc>
          <w:tcPr>
            <w:tcW w:w="4536" w:type="dxa"/>
          </w:tcPr>
          <w:p w:rsidR="00E3459A" w:rsidRPr="00E61984" w:rsidRDefault="00E3459A" w:rsidP="00E61984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E61984">
              <w:rPr>
                <w:rFonts w:ascii="Times New Roman" w:hAnsi="Times New Roman" w:cs="Times New Roman"/>
              </w:rPr>
              <w:t>Постачальник:</w:t>
            </w:r>
          </w:p>
          <w:p w:rsidR="00E3459A" w:rsidRPr="00E61984" w:rsidRDefault="00E3459A" w:rsidP="00E61984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</w:p>
          <w:p w:rsidR="00E3459A" w:rsidRPr="00E61984" w:rsidRDefault="00E3459A" w:rsidP="00E61984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E61984">
              <w:rPr>
                <w:rFonts w:ascii="Times New Roman" w:hAnsi="Times New Roman" w:cs="Times New Roman"/>
              </w:rPr>
              <w:t>____________________ ________________</w:t>
            </w:r>
          </w:p>
          <w:p w:rsidR="00E3459A" w:rsidRPr="00E61984" w:rsidRDefault="00E3459A" w:rsidP="00E61984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E61984">
              <w:rPr>
                <w:rFonts w:ascii="Times New Roman" w:hAnsi="Times New Roman" w:cs="Times New Roman"/>
              </w:rPr>
              <w:t>МП</w:t>
            </w:r>
          </w:p>
          <w:p w:rsidR="00E3459A" w:rsidRPr="00E61984" w:rsidRDefault="00E3459A" w:rsidP="001D3F9F">
            <w:pPr>
              <w:rPr>
                <w:rFonts w:ascii="Times New Roman" w:hAnsi="Times New Roman" w:cs="Times New Roman"/>
              </w:rPr>
            </w:pPr>
          </w:p>
          <w:p w:rsidR="00E3459A" w:rsidRPr="00E61984" w:rsidRDefault="00E3459A" w:rsidP="001D3F9F">
            <w:pPr>
              <w:rPr>
                <w:rFonts w:ascii="Times New Roman" w:hAnsi="Times New Roman" w:cs="Times New Roman"/>
              </w:rPr>
            </w:pPr>
          </w:p>
          <w:p w:rsidR="00E3459A" w:rsidRPr="00E61984" w:rsidRDefault="00E3459A" w:rsidP="001D3F9F">
            <w:pPr>
              <w:rPr>
                <w:rFonts w:ascii="Times New Roman" w:hAnsi="Times New Roman" w:cs="Times New Roman"/>
              </w:rPr>
            </w:pPr>
          </w:p>
          <w:p w:rsidR="00E3459A" w:rsidRPr="00E61984" w:rsidRDefault="00E3459A" w:rsidP="001D3F9F">
            <w:pPr>
              <w:rPr>
                <w:rFonts w:ascii="Times New Roman" w:hAnsi="Times New Roman" w:cs="Times New Roman"/>
              </w:rPr>
            </w:pPr>
          </w:p>
          <w:p w:rsidR="00E3459A" w:rsidRPr="00E61984" w:rsidRDefault="00E3459A" w:rsidP="001D3F9F">
            <w:pPr>
              <w:rPr>
                <w:rFonts w:ascii="Times New Roman" w:hAnsi="Times New Roman" w:cs="Times New Roman"/>
              </w:rPr>
            </w:pPr>
          </w:p>
          <w:p w:rsidR="00E3459A" w:rsidRPr="00E61984" w:rsidRDefault="00E3459A" w:rsidP="001D3F9F">
            <w:pPr>
              <w:rPr>
                <w:rFonts w:ascii="Times New Roman" w:hAnsi="Times New Roman" w:cs="Times New Roman"/>
              </w:rPr>
            </w:pPr>
          </w:p>
        </w:tc>
      </w:tr>
    </w:tbl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225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9A" w:rsidRDefault="00E3459A" w:rsidP="00B33E04">
      <w:pPr>
        <w:rPr>
          <w:rFonts w:ascii="Times New Roman" w:hAnsi="Times New Roman" w:cs="Times New Roman"/>
          <w:sz w:val="24"/>
          <w:szCs w:val="24"/>
        </w:rPr>
      </w:pPr>
    </w:p>
    <w:p w:rsidR="00E3459A" w:rsidRDefault="00E3459A" w:rsidP="00461631">
      <w:pPr>
        <w:spacing w:after="0" w:line="240" w:lineRule="auto"/>
        <w:ind w:left="50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 1</w:t>
      </w:r>
    </w:p>
    <w:p w:rsidR="00E3459A" w:rsidRDefault="00E3459A" w:rsidP="00461631">
      <w:pPr>
        <w:spacing w:after="0" w:line="240" w:lineRule="auto"/>
        <w:ind w:left="50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 ________________</w:t>
      </w:r>
    </w:p>
    <w:p w:rsidR="00E3459A" w:rsidRDefault="00E3459A" w:rsidP="00461631">
      <w:pPr>
        <w:spacing w:after="0" w:line="240" w:lineRule="auto"/>
        <w:ind w:left="50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«___»_________ 2024 р.</w:t>
      </w:r>
    </w:p>
    <w:p w:rsidR="00E3459A" w:rsidRDefault="00E3459A" w:rsidP="00AD0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Специфікація </w:t>
      </w:r>
    </w:p>
    <w:p w:rsidR="00E3459A" w:rsidRDefault="00E3459A" w:rsidP="00AD0D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7" w:type="dxa"/>
        <w:tblInd w:w="-2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97"/>
        <w:gridCol w:w="3270"/>
        <w:gridCol w:w="1278"/>
        <w:gridCol w:w="1407"/>
        <w:gridCol w:w="1515"/>
        <w:gridCol w:w="1620"/>
      </w:tblGrid>
      <w:tr w:rsidR="00E3459A" w:rsidTr="00E61984">
        <w:trPr>
          <w:trHeight w:val="151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Одиниця виміру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грн., без ПДВ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сума,</w:t>
            </w:r>
          </w:p>
          <w:p w:rsidR="00E3459A" w:rsidRPr="00E61984" w:rsidRDefault="00E3459A" w:rsidP="00E6198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b/>
                <w:sz w:val="24"/>
                <w:szCs w:val="24"/>
              </w:rPr>
              <w:t>грн., без ПДВ</w:t>
            </w:r>
          </w:p>
        </w:tc>
      </w:tr>
      <w:tr w:rsidR="00E3459A" w:rsidTr="00E61984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Pr="00E61984" w:rsidRDefault="00E3459A" w:rsidP="00E619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Pr="00E61984" w:rsidRDefault="00E3459A" w:rsidP="00E6198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Pr="00E61984" w:rsidRDefault="00E3459A" w:rsidP="00E6198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59A" w:rsidTr="00E61984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Default="00E3459A"/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Pr="00E61984" w:rsidRDefault="00E3459A" w:rsidP="00E6198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Pr="00E61984" w:rsidRDefault="00E3459A" w:rsidP="00E6198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59A" w:rsidTr="00E61984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Default="00E3459A"/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Pr="00E61984" w:rsidRDefault="00E3459A" w:rsidP="00E6198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Pr="00E61984" w:rsidRDefault="00E3459A" w:rsidP="00E6198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59A" w:rsidTr="00E61984">
        <w:trPr>
          <w:trHeight w:val="400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Default="00E3459A"/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Pr="00E61984" w:rsidRDefault="00E3459A" w:rsidP="00E6198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Pr="00E61984" w:rsidRDefault="00E3459A" w:rsidP="00E6198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59A" w:rsidTr="00461631">
        <w:trPr>
          <w:trHeight w:val="257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02407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459A" w:rsidRPr="00E61984" w:rsidRDefault="00E3459A" w:rsidP="0002407E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3459A" w:rsidRDefault="00E3459A" w:rsidP="0002407E"/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459A" w:rsidRPr="00E61984" w:rsidRDefault="00E3459A" w:rsidP="0002407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3459A" w:rsidRPr="00E61984" w:rsidRDefault="00E3459A" w:rsidP="0002407E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3459A" w:rsidRPr="00E61984" w:rsidRDefault="00E3459A" w:rsidP="0002407E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59A" w:rsidTr="00461631">
        <w:trPr>
          <w:trHeight w:val="256"/>
        </w:trPr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02407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02407E">
            <w:pPr>
              <w:widowControl w:val="0"/>
              <w:autoSpaceDE w:val="0"/>
              <w:autoSpaceDN w:val="0"/>
              <w:spacing w:after="0"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Default="00E3459A" w:rsidP="0002407E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459A" w:rsidRPr="00E61984" w:rsidRDefault="00E3459A" w:rsidP="0002407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Pr="00E61984" w:rsidRDefault="00E3459A" w:rsidP="0002407E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3459A" w:rsidRPr="00E61984" w:rsidRDefault="00E3459A" w:rsidP="0002407E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59A" w:rsidTr="00E61984">
        <w:trPr>
          <w:trHeight w:val="280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sz w:val="24"/>
                <w:szCs w:val="24"/>
              </w:rPr>
              <w:t>Всього грн. без ПДВ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9A" w:rsidRPr="00E61984" w:rsidRDefault="00E3459A" w:rsidP="00E6198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59A" w:rsidTr="00E61984">
        <w:trPr>
          <w:trHeight w:val="260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sz w:val="24"/>
                <w:szCs w:val="24"/>
              </w:rPr>
              <w:t>ПДВ, грн.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9A" w:rsidRPr="00E61984" w:rsidRDefault="00E3459A" w:rsidP="00E6198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59A" w:rsidTr="00E61984">
        <w:trPr>
          <w:trHeight w:val="538"/>
        </w:trPr>
        <w:tc>
          <w:tcPr>
            <w:tcW w:w="8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59A" w:rsidRPr="00E61984" w:rsidRDefault="00E3459A" w:rsidP="00E61984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984">
              <w:rPr>
                <w:rFonts w:ascii="Times New Roman" w:hAnsi="Times New Roman" w:cs="Times New Roman"/>
                <w:sz w:val="24"/>
                <w:szCs w:val="24"/>
              </w:rPr>
              <w:t>Всього грн. разом з ПДВ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9A" w:rsidRPr="00E61984" w:rsidRDefault="00E3459A" w:rsidP="00E6198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459A" w:rsidRDefault="00E3459A" w:rsidP="00AD0D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5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920"/>
        <w:gridCol w:w="4536"/>
      </w:tblGrid>
      <w:tr w:rsidR="00E3459A" w:rsidTr="00586C50">
        <w:trPr>
          <w:trHeight w:val="5539"/>
        </w:trPr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59A" w:rsidRPr="00E61984" w:rsidRDefault="00E3459A" w:rsidP="00E61984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E61984">
              <w:rPr>
                <w:rFonts w:ascii="Times New Roman" w:hAnsi="Times New Roman" w:cs="Times New Roman"/>
              </w:rPr>
              <w:t>Покупець: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  <w:b/>
              </w:rPr>
            </w:pPr>
            <w:r w:rsidRPr="00E61984">
              <w:rPr>
                <w:rFonts w:ascii="Times New Roman" w:hAnsi="Times New Roman"/>
                <w:b/>
              </w:rPr>
              <w:t>Державна митна служба України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  <w:b/>
              </w:rPr>
            </w:pPr>
            <w:r w:rsidRPr="00E61984">
              <w:rPr>
                <w:rFonts w:ascii="Times New Roman" w:hAnsi="Times New Roman"/>
                <w:b/>
              </w:rPr>
              <w:t>Львівська митниця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79000, м. Львів, вул. Костюшка, 1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ЄДРПОУ 43971343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МФО 820172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р/рUA708201720343150001000160947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р/рUA868201720343141001200160947</w:t>
            </w:r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в Державній казначейській службі України</w:t>
            </w:r>
          </w:p>
          <w:p w:rsidR="00E3459A" w:rsidRPr="00E61984" w:rsidRDefault="00E3459A" w:rsidP="0033660A">
            <w:pPr>
              <w:pStyle w:val="11"/>
              <w:rPr>
                <w:sz w:val="20"/>
                <w:szCs w:val="20"/>
              </w:rPr>
            </w:pPr>
          </w:p>
          <w:p w:rsidR="00E3459A" w:rsidRPr="00E61984" w:rsidRDefault="00E3459A" w:rsidP="00E61984">
            <w:pPr>
              <w:pStyle w:val="12"/>
              <w:jc w:val="both"/>
              <w:rPr>
                <w:lang w:val="uk-UA"/>
              </w:rPr>
            </w:pPr>
            <w:r w:rsidRPr="00E61984">
              <w:rPr>
                <w:lang w:val="uk-UA"/>
              </w:rPr>
              <w:t>Тел.032258-99-52</w:t>
            </w:r>
          </w:p>
          <w:p w:rsidR="00E3459A" w:rsidRPr="00586C50" w:rsidRDefault="00E3459A" w:rsidP="00586C50">
            <w:pPr>
              <w:pStyle w:val="12"/>
              <w:jc w:val="both"/>
            </w:pPr>
            <w:r w:rsidRPr="00E61984">
              <w:rPr>
                <w:lang w:val="en-US"/>
              </w:rPr>
              <w:t>e</w:t>
            </w:r>
            <w:r w:rsidRPr="00586C50">
              <w:rPr>
                <w:lang w:val="en-GB"/>
              </w:rPr>
              <w:t>-</w:t>
            </w:r>
            <w:r w:rsidRPr="00E61984">
              <w:rPr>
                <w:lang w:val="en-US"/>
              </w:rPr>
              <w:t>mail</w:t>
            </w:r>
            <w:r w:rsidRPr="00E61984">
              <w:rPr>
                <w:lang w:val="uk-UA"/>
              </w:rPr>
              <w:t xml:space="preserve">: </w:t>
            </w:r>
            <w:hyperlink r:id="rId7" w:history="1">
              <w:r w:rsidRPr="00E61984">
                <w:rPr>
                  <w:rStyle w:val="Hyperlink"/>
                  <w:lang w:val="en-US"/>
                </w:rPr>
                <w:t>lv.post@customs.gov.ua</w:t>
              </w:r>
            </w:hyperlink>
          </w:p>
          <w:p w:rsidR="00E3459A" w:rsidRPr="00E61984" w:rsidRDefault="00E3459A" w:rsidP="00E61984">
            <w:pPr>
              <w:spacing w:after="0"/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 xml:space="preserve">В.о. начальника </w:t>
            </w:r>
          </w:p>
          <w:p w:rsidR="00E3459A" w:rsidRPr="00E61984" w:rsidRDefault="00E3459A" w:rsidP="0033660A">
            <w:pPr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Львівської митниці</w:t>
            </w:r>
          </w:p>
          <w:p w:rsidR="00E3459A" w:rsidRPr="00E61984" w:rsidRDefault="00E3459A" w:rsidP="0033660A">
            <w:pPr>
              <w:rPr>
                <w:rFonts w:ascii="Times New Roman" w:hAnsi="Times New Roman"/>
              </w:rPr>
            </w:pPr>
            <w:r w:rsidRPr="00E61984">
              <w:rPr>
                <w:rFonts w:ascii="Times New Roman" w:hAnsi="Times New Roman"/>
              </w:rPr>
              <w:t>_________________ Андрій КУЗНІК</w:t>
            </w:r>
          </w:p>
          <w:p w:rsidR="00E3459A" w:rsidRPr="00E61984" w:rsidRDefault="00E3459A" w:rsidP="0033660A">
            <w:pPr>
              <w:rPr>
                <w:rFonts w:ascii="Times New Roman" w:hAnsi="Times New Roman" w:cs="Times New Roman"/>
              </w:rPr>
            </w:pPr>
            <w:r w:rsidRPr="00E61984">
              <w:rPr>
                <w:rFonts w:ascii="Times New Roman" w:hAnsi="Times New Roman"/>
              </w:rPr>
              <w:t>МП</w:t>
            </w:r>
          </w:p>
        </w:tc>
        <w:tc>
          <w:tcPr>
            <w:tcW w:w="4536" w:type="dxa"/>
          </w:tcPr>
          <w:p w:rsidR="00E3459A" w:rsidRPr="00E61984" w:rsidRDefault="00E3459A" w:rsidP="00E61984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E61984">
              <w:rPr>
                <w:rFonts w:ascii="Times New Roman" w:hAnsi="Times New Roman" w:cs="Times New Roman"/>
              </w:rPr>
              <w:t>Постачальник:</w:t>
            </w:r>
          </w:p>
          <w:p w:rsidR="00E3459A" w:rsidRPr="00E61984" w:rsidRDefault="00E3459A" w:rsidP="00E61984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</w:p>
          <w:p w:rsidR="00E3459A" w:rsidRPr="00E61984" w:rsidRDefault="00E3459A" w:rsidP="00E61984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E61984">
              <w:rPr>
                <w:rFonts w:ascii="Times New Roman" w:hAnsi="Times New Roman" w:cs="Times New Roman"/>
              </w:rPr>
              <w:t>____________________ ________________</w:t>
            </w:r>
          </w:p>
          <w:p w:rsidR="00E3459A" w:rsidRPr="00E61984" w:rsidRDefault="00E3459A" w:rsidP="00E61984">
            <w:pPr>
              <w:spacing w:line="240" w:lineRule="auto"/>
              <w:ind w:left="126" w:right="126"/>
              <w:rPr>
                <w:rFonts w:ascii="Times New Roman" w:hAnsi="Times New Roman" w:cs="Times New Roman"/>
              </w:rPr>
            </w:pPr>
            <w:r w:rsidRPr="00E61984">
              <w:rPr>
                <w:rFonts w:ascii="Times New Roman" w:hAnsi="Times New Roman" w:cs="Times New Roman"/>
              </w:rPr>
              <w:t>МП</w:t>
            </w:r>
          </w:p>
          <w:p w:rsidR="00E3459A" w:rsidRPr="00E61984" w:rsidRDefault="00E3459A" w:rsidP="0033660A">
            <w:pPr>
              <w:rPr>
                <w:rFonts w:ascii="Times New Roman" w:hAnsi="Times New Roman" w:cs="Times New Roman"/>
              </w:rPr>
            </w:pPr>
          </w:p>
          <w:p w:rsidR="00E3459A" w:rsidRPr="00E61984" w:rsidRDefault="00E3459A" w:rsidP="0033660A">
            <w:pPr>
              <w:rPr>
                <w:rFonts w:ascii="Times New Roman" w:hAnsi="Times New Roman" w:cs="Times New Roman"/>
              </w:rPr>
            </w:pPr>
          </w:p>
          <w:p w:rsidR="00E3459A" w:rsidRPr="00E61984" w:rsidRDefault="00E3459A" w:rsidP="0033660A">
            <w:pPr>
              <w:rPr>
                <w:rFonts w:ascii="Times New Roman" w:hAnsi="Times New Roman" w:cs="Times New Roman"/>
              </w:rPr>
            </w:pPr>
          </w:p>
          <w:p w:rsidR="00E3459A" w:rsidRPr="00E61984" w:rsidRDefault="00E3459A" w:rsidP="0033660A">
            <w:pPr>
              <w:rPr>
                <w:rFonts w:ascii="Times New Roman" w:hAnsi="Times New Roman" w:cs="Times New Roman"/>
              </w:rPr>
            </w:pPr>
          </w:p>
          <w:p w:rsidR="00E3459A" w:rsidRPr="00E61984" w:rsidRDefault="00E3459A" w:rsidP="0033660A">
            <w:pPr>
              <w:rPr>
                <w:rFonts w:ascii="Times New Roman" w:hAnsi="Times New Roman" w:cs="Times New Roman"/>
              </w:rPr>
            </w:pPr>
          </w:p>
          <w:p w:rsidR="00E3459A" w:rsidRPr="00E61984" w:rsidRDefault="00E3459A" w:rsidP="0033660A">
            <w:pPr>
              <w:rPr>
                <w:rFonts w:ascii="Times New Roman" w:hAnsi="Times New Roman" w:cs="Times New Roman"/>
              </w:rPr>
            </w:pPr>
          </w:p>
        </w:tc>
      </w:tr>
    </w:tbl>
    <w:p w:rsidR="00E3459A" w:rsidRPr="00AD0DAE" w:rsidRDefault="00E3459A" w:rsidP="00586C50"/>
    <w:sectPr w:rsidR="00E3459A" w:rsidRPr="00AD0DAE" w:rsidSect="00AD0DAE">
      <w:pgSz w:w="11906" w:h="16838"/>
      <w:pgMar w:top="708" w:right="718" w:bottom="851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9A" w:rsidRDefault="00E3459A">
      <w:pPr>
        <w:spacing w:after="0" w:line="240" w:lineRule="auto"/>
      </w:pPr>
      <w:r>
        <w:separator/>
      </w:r>
    </w:p>
  </w:endnote>
  <w:endnote w:type="continuationSeparator" w:id="1">
    <w:p w:rsidR="00E3459A" w:rsidRDefault="00E3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9A" w:rsidRDefault="00E3459A">
      <w:pPr>
        <w:spacing w:after="0" w:line="240" w:lineRule="auto"/>
      </w:pPr>
      <w:r>
        <w:separator/>
      </w:r>
    </w:p>
  </w:footnote>
  <w:footnote w:type="continuationSeparator" w:id="1">
    <w:p w:rsidR="00E3459A" w:rsidRDefault="00E34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89F"/>
    <w:rsid w:val="0002407E"/>
    <w:rsid w:val="00096F11"/>
    <w:rsid w:val="001146A7"/>
    <w:rsid w:val="001350EC"/>
    <w:rsid w:val="001D3F9F"/>
    <w:rsid w:val="0022520C"/>
    <w:rsid w:val="002326C7"/>
    <w:rsid w:val="002879FC"/>
    <w:rsid w:val="002C4603"/>
    <w:rsid w:val="0033660A"/>
    <w:rsid w:val="00373436"/>
    <w:rsid w:val="003A489F"/>
    <w:rsid w:val="00455086"/>
    <w:rsid w:val="00461631"/>
    <w:rsid w:val="00463445"/>
    <w:rsid w:val="004D1CA7"/>
    <w:rsid w:val="00553958"/>
    <w:rsid w:val="00576C11"/>
    <w:rsid w:val="00586C50"/>
    <w:rsid w:val="00612F3D"/>
    <w:rsid w:val="006917DE"/>
    <w:rsid w:val="006F00C7"/>
    <w:rsid w:val="00701E1A"/>
    <w:rsid w:val="007B2873"/>
    <w:rsid w:val="007D2C94"/>
    <w:rsid w:val="008163D5"/>
    <w:rsid w:val="009364D4"/>
    <w:rsid w:val="0094784E"/>
    <w:rsid w:val="00AA0B80"/>
    <w:rsid w:val="00AA7A56"/>
    <w:rsid w:val="00AD0DAE"/>
    <w:rsid w:val="00B33E04"/>
    <w:rsid w:val="00B65E5F"/>
    <w:rsid w:val="00CA0161"/>
    <w:rsid w:val="00D10D33"/>
    <w:rsid w:val="00D70AAD"/>
    <w:rsid w:val="00DF2F1C"/>
    <w:rsid w:val="00E3459A"/>
    <w:rsid w:val="00E61984"/>
    <w:rsid w:val="00E73F2C"/>
    <w:rsid w:val="00EB4D00"/>
    <w:rsid w:val="00EC3044"/>
    <w:rsid w:val="00F7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1CA7"/>
    <w:pPr>
      <w:widowControl w:val="0"/>
      <w:spacing w:after="0" w:line="240" w:lineRule="auto"/>
      <w:ind w:left="720" w:hanging="720"/>
      <w:outlineLvl w:val="0"/>
    </w:pPr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1CA7"/>
    <w:pPr>
      <w:widowControl w:val="0"/>
      <w:spacing w:after="0" w:line="240" w:lineRule="auto"/>
      <w:ind w:left="1440" w:hanging="720"/>
      <w:outlineLvl w:val="1"/>
    </w:pPr>
    <w:rPr>
      <w:rFonts w:ascii="Times" w:hAnsi="Times" w:cs="Times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1CA7"/>
    <w:pPr>
      <w:widowControl w:val="0"/>
      <w:spacing w:after="0" w:line="240" w:lineRule="auto"/>
      <w:ind w:left="2160" w:hanging="720"/>
      <w:outlineLvl w:val="2"/>
    </w:pPr>
    <w:rPr>
      <w:rFonts w:ascii="Times" w:hAnsi="Times" w:cs="Times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1CA7"/>
    <w:pPr>
      <w:widowControl w:val="0"/>
      <w:spacing w:after="0" w:line="240" w:lineRule="auto"/>
      <w:ind w:left="2880" w:hanging="720"/>
      <w:outlineLvl w:val="3"/>
    </w:pPr>
    <w:rPr>
      <w:rFonts w:ascii="Times" w:hAnsi="Times" w:cs="Times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1CA7"/>
    <w:pPr>
      <w:widowControl w:val="0"/>
      <w:spacing w:before="240" w:after="60" w:line="240" w:lineRule="auto"/>
      <w:ind w:left="3600" w:hanging="720"/>
      <w:outlineLvl w:val="4"/>
    </w:pPr>
    <w:rPr>
      <w:rFonts w:ascii="Times" w:hAnsi="Times" w:cs="Times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1CA7"/>
    <w:pPr>
      <w:widowControl w:val="0"/>
      <w:spacing w:before="240" w:after="60" w:line="240" w:lineRule="auto"/>
      <w:ind w:left="4320" w:hanging="720"/>
      <w:outlineLvl w:val="5"/>
    </w:pPr>
    <w:rPr>
      <w:rFonts w:ascii="Times" w:hAnsi="Times" w:cs="Time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4D1CA7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D1CA7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4D1CA7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4D1CA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2"/>
    <w:uiPriority w:val="99"/>
    <w:rsid w:val="004D1C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Стиль10"/>
    <w:basedOn w:val="TableNormal2"/>
    <w:uiPriority w:val="99"/>
    <w:rsid w:val="004D1C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2"/>
    <w:uiPriority w:val="99"/>
    <w:rsid w:val="004D1C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2"/>
    <w:uiPriority w:val="99"/>
    <w:rsid w:val="004D1C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2"/>
    <w:uiPriority w:val="99"/>
    <w:rsid w:val="004D1C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4D1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1CA7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D1CA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9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F11"/>
    <w:rPr>
      <w:rFonts w:ascii="Tahoma" w:hAnsi="Tahoma" w:cs="Tahoma"/>
      <w:sz w:val="16"/>
      <w:szCs w:val="16"/>
    </w:rPr>
  </w:style>
  <w:style w:type="table" w:customStyle="1" w:styleId="6">
    <w:name w:val="Стиль6"/>
    <w:basedOn w:val="TableNormal2"/>
    <w:uiPriority w:val="99"/>
    <w:rsid w:val="004D1C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2"/>
    <w:uiPriority w:val="99"/>
    <w:rsid w:val="004D1C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2"/>
    <w:uiPriority w:val="99"/>
    <w:rsid w:val="004D1C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2"/>
    <w:uiPriority w:val="99"/>
    <w:rsid w:val="004D1C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2"/>
    <w:uiPriority w:val="99"/>
    <w:rsid w:val="004D1C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">
    <w:name w:val="Стиль1"/>
    <w:basedOn w:val="Normal"/>
    <w:uiPriority w:val="99"/>
    <w:rsid w:val="00AA0B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1146A7"/>
    <w:rPr>
      <w:rFonts w:ascii="Times New Roman" w:hAnsi="Times New Roman" w:cs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1146A7"/>
    <w:rPr>
      <w:rFonts w:cs="Times New Roman"/>
      <w:color w:val="0000FF"/>
      <w:u w:val="single"/>
    </w:rPr>
  </w:style>
  <w:style w:type="paragraph" w:customStyle="1" w:styleId="12">
    <w:name w:val="Звичайний1"/>
    <w:uiPriority w:val="99"/>
    <w:rsid w:val="001146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14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46A7"/>
    <w:rPr>
      <w:rFonts w:cs="Times New Roman"/>
      <w:sz w:val="20"/>
      <w:szCs w:val="20"/>
    </w:rPr>
  </w:style>
  <w:style w:type="paragraph" w:styleId="ListParagraph">
    <w:name w:val="List Paragraph"/>
    <w:aliases w:val="название табл/рис,Список уровня 2,Bullet Number,Bullet 1,Use Case List Paragraph,lp1,List Paragraph1,lp11,List Paragraph11"/>
    <w:basedOn w:val="Normal"/>
    <w:link w:val="ListParagraphChar"/>
    <w:uiPriority w:val="99"/>
    <w:qFormat/>
    <w:rsid w:val="00701E1A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aliases w:val="название табл/рис Char,Список уровня 2 Char,Bullet Number Char,Bullet 1 Char,Use Case List Paragraph Char,lp1 Char,List Paragraph1 Char,lp11 Char,List Paragraph11 Char"/>
    <w:link w:val="ListParagraph"/>
    <w:uiPriority w:val="99"/>
    <w:locked/>
    <w:rsid w:val="00701E1A"/>
    <w:rPr>
      <w:rFonts w:eastAsia="Times New Roman"/>
      <w:sz w:val="20"/>
      <w:lang w:eastAsia="ru-RU"/>
    </w:rPr>
  </w:style>
  <w:style w:type="paragraph" w:customStyle="1" w:styleId="Default">
    <w:name w:val="Default"/>
    <w:uiPriority w:val="99"/>
    <w:rsid w:val="00B33E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v.post@customs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.post@customs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9116</Words>
  <Characters>5197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Заграй Роман Олегович</dc:creator>
  <cp:keywords/>
  <dc:description/>
  <cp:lastModifiedBy>internet</cp:lastModifiedBy>
  <cp:revision>4</cp:revision>
  <dcterms:created xsi:type="dcterms:W3CDTF">2024-03-15T13:17:00Z</dcterms:created>
  <dcterms:modified xsi:type="dcterms:W3CDTF">2024-03-15T13:25:00Z</dcterms:modified>
</cp:coreProperties>
</file>