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16033" w:rsidRPr="0023756D" w:rsidTr="00493D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3D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rsidR="00EE22A7" w:rsidRPr="00EE22A7" w:rsidRDefault="00EE22A7" w:rsidP="00EE22A7">
            <w:pPr>
              <w:spacing w:after="0" w:line="240" w:lineRule="auto"/>
              <w:jc w:val="both"/>
              <w:rPr>
                <w:rFonts w:ascii="Times New Roman" w:eastAsia="Times New Roman" w:hAnsi="Times New Roman" w:cs="Times New Roman"/>
                <w:sz w:val="24"/>
                <w:szCs w:val="24"/>
                <w:lang w:val="ru-RU"/>
              </w:rPr>
            </w:pPr>
            <w:r w:rsidRPr="00EE22A7">
              <w:rPr>
                <w:rFonts w:ascii="Times New Roman" w:eastAsia="Times New Roman" w:hAnsi="Times New Roman" w:cs="Times New Roman"/>
                <w:sz w:val="24"/>
                <w:szCs w:val="24"/>
              </w:rPr>
              <w:t>- копія позитивного відгуку про співпрацю по виконаному договору зазначеному в довідці.</w:t>
            </w:r>
          </w:p>
          <w:p w:rsidR="00D16033" w:rsidRPr="0023756D" w:rsidRDefault="00D16033" w:rsidP="00493D81">
            <w:pPr>
              <w:spacing w:after="0" w:line="240" w:lineRule="auto"/>
              <w:jc w:val="both"/>
              <w:rPr>
                <w:rFonts w:ascii="Times New Roman" w:eastAsia="Times New Roman" w:hAnsi="Times New Roman" w:cs="Times New Roman"/>
                <w:sz w:val="24"/>
                <w:szCs w:val="24"/>
              </w:rPr>
            </w:pPr>
          </w:p>
        </w:tc>
      </w:tr>
    </w:tbl>
    <w:p w:rsidR="00D16033" w:rsidRPr="0023756D" w:rsidRDefault="00D16033" w:rsidP="00D16033">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6033" w:rsidRPr="0023756D" w:rsidRDefault="00D16033" w:rsidP="00D16033">
      <w:pPr>
        <w:spacing w:before="240" w:after="0" w:line="240" w:lineRule="auto"/>
        <w:ind w:firstLine="720"/>
        <w:jc w:val="both"/>
        <w:rPr>
          <w:rFonts w:ascii="Times New Roman" w:eastAsia="Times New Roman" w:hAnsi="Times New Roman" w:cs="Times New Roman"/>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w:t>
      </w:r>
      <w:r w:rsidRPr="0023756D">
        <w:rPr>
          <w:rFonts w:ascii="Times New Roman" w:eastAsia="Times New Roman" w:hAnsi="Times New Roman" w:cs="Times New Roman"/>
          <w:sz w:val="24"/>
          <w:szCs w:val="24"/>
          <w:highlight w:val="white"/>
        </w:rPr>
        <w:lastRenderedPageBreak/>
        <w:t>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3756D">
              <w:rPr>
                <w:rFonts w:ascii="Times New Roman" w:eastAsia="Times New Roman" w:hAnsi="Times New Roman" w:cs="Times New Roman"/>
                <w:sz w:val="24"/>
                <w:szCs w:val="24"/>
                <w:highlight w:val="white"/>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lastRenderedPageBreak/>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06824"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after="0" w:line="240" w:lineRule="auto"/>
              <w:ind w:left="140" w:right="140"/>
              <w:jc w:val="both"/>
              <w:rPr>
                <w:rFonts w:ascii="Times New Roman" w:eastAsia="Times New Roman" w:hAnsi="Times New Roman" w:cs="Times New Roman"/>
                <w:sz w:val="24"/>
                <w:szCs w:val="24"/>
              </w:rPr>
            </w:pPr>
            <w:r w:rsidRPr="00506824">
              <w:rPr>
                <w:rFonts w:ascii="Times New Roman" w:eastAsia="Times New Roman" w:hAnsi="Times New Roman" w:cs="Times New Roman"/>
                <w:b/>
                <w:sz w:val="24"/>
                <w:szCs w:val="24"/>
              </w:rPr>
              <w:t>Довідка в довільній формі</w:t>
            </w:r>
            <w:r w:rsidRPr="00506824">
              <w:rPr>
                <w:rFonts w:ascii="Times New Roman" w:eastAsia="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tc>
      </w:tr>
    </w:tbl>
    <w:p w:rsidR="00285446" w:rsidRDefault="00285446" w:rsidP="001A055B">
      <w:pPr>
        <w:spacing w:after="200" w:line="276" w:lineRule="auto"/>
        <w:rPr>
          <w:rFonts w:ascii="Times New Roman" w:eastAsia="Times New Roman" w:hAnsi="Times New Roman" w:cs="Times New Roman"/>
          <w:b/>
          <w:sz w:val="24"/>
          <w:szCs w:val="24"/>
        </w:rPr>
      </w:pPr>
    </w:p>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w:t>
      </w:r>
      <w:r w:rsidRPr="008046F4">
        <w:rPr>
          <w:rFonts w:ascii="Times New Roman" w:hAnsi="Times New Roman"/>
          <w:i/>
          <w:iCs/>
          <w:sz w:val="20"/>
        </w:rPr>
        <w:lastRenderedPageBreak/>
        <w:t xml:space="preserve">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1A055B"/>
    <w:rsid w:val="00285446"/>
    <w:rsid w:val="00314447"/>
    <w:rsid w:val="003B5F9C"/>
    <w:rsid w:val="00506824"/>
    <w:rsid w:val="00607D16"/>
    <w:rsid w:val="00773369"/>
    <w:rsid w:val="00897CD0"/>
    <w:rsid w:val="009417B6"/>
    <w:rsid w:val="00B72104"/>
    <w:rsid w:val="00D16033"/>
    <w:rsid w:val="00E22B7A"/>
    <w:rsid w:val="00EE22A7"/>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2023-10-10T12:39:00Z</dcterms:created>
  <dcterms:modified xsi:type="dcterms:W3CDTF">2023-10-10T12:39:00Z</dcterms:modified>
</cp:coreProperties>
</file>