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FAB0" w14:textId="77777777" w:rsidR="00A858AE" w:rsidRDefault="00117EB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p w14:paraId="4BB21D76" w14:textId="77777777" w:rsidR="00A858AE" w:rsidRDefault="00117EB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документації</w:t>
      </w:r>
      <w:proofErr w:type="spellEnd"/>
    </w:p>
    <w:p w14:paraId="0B210473" w14:textId="77777777" w:rsidR="00A858AE" w:rsidRDefault="00A858AE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CB45552" w14:textId="77777777" w:rsidR="00A858AE" w:rsidRDefault="00A858AE">
      <w:pPr>
        <w:tabs>
          <w:tab w:val="left" w:pos="708"/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39DE56" w14:textId="77777777" w:rsidR="00A858AE" w:rsidRDefault="00117EBC">
      <w:pPr>
        <w:tabs>
          <w:tab w:val="left" w:pos="708"/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до предмету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закупівлі</w:t>
      </w:r>
      <w:proofErr w:type="spellEnd"/>
    </w:p>
    <w:p w14:paraId="3013883F" w14:textId="77777777" w:rsidR="00A858AE" w:rsidRDefault="00A858AE">
      <w:pPr>
        <w:tabs>
          <w:tab w:val="left" w:pos="708"/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85EAE3A" w14:textId="77777777" w:rsidR="00A858AE" w:rsidRDefault="00117EBC">
      <w:pPr>
        <w:tabs>
          <w:tab w:val="left" w:pos="708"/>
        </w:tabs>
        <w:suppressAutoHyphens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код ДК 021:2015 — 15810000 -9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Хлібопродукти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свіжовипечені,хлібобулочні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кондитерські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вироби</w:t>
      </w:r>
      <w:proofErr w:type="spellEnd"/>
    </w:p>
    <w:p w14:paraId="634EE300" w14:textId="11C6A68B" w:rsidR="00A858AE" w:rsidRDefault="00117EBC">
      <w:pPr>
        <w:tabs>
          <w:tab w:val="left" w:pos="708"/>
        </w:tabs>
        <w:suppressAutoHyphens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хліб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пшеничний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хліб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житньо-пшеничний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 w:rsidR="001F288A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кекс </w:t>
      </w:r>
      <w:proofErr w:type="spellStart"/>
      <w:r w:rsidR="001F288A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великодний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,батон, булка з маком)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1594"/>
        <w:gridCol w:w="5498"/>
        <w:gridCol w:w="1152"/>
      </w:tblGrid>
      <w:tr w:rsidR="00A12C21" w14:paraId="014584DB" w14:textId="77777777" w:rsidTr="00A12C21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7619F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з/п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18FCCE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</w:t>
            </w:r>
          </w:p>
        </w:tc>
        <w:tc>
          <w:tcPr>
            <w:tcW w:w="549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54F54C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321D4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кг</w:t>
            </w:r>
          </w:p>
        </w:tc>
      </w:tr>
      <w:tr w:rsidR="00A12C21" w14:paraId="35C1C73E" w14:textId="77777777" w:rsidTr="00A12C21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0679EF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809E65" w14:textId="77777777" w:rsidR="00A12C21" w:rsidRDefault="00A12C21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пшеничний</w:t>
            </w:r>
            <w:proofErr w:type="spellEnd"/>
          </w:p>
        </w:tc>
        <w:tc>
          <w:tcPr>
            <w:tcW w:w="549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932F6D" w14:textId="77777777" w:rsidR="00A12C21" w:rsidRDefault="00A12C21">
            <w:pPr>
              <w:suppressAutoHyphens/>
              <w:spacing w:after="2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Хлiб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пшеничний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кг.Зовнiшнiй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форма овальна,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розпливчаста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притискiв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дозволено один-два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злипи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Поверхня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гладка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пiдгорiлостi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великих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трiщин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пiдривiв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Колiр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вiд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свiтло-жовтого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темно - коричневого.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м'якуша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добре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пропечений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еластичний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piвномірною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пористiстю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слiдiв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непромiсу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ущiльнення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м'якушки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Смак та запах: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хлiба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запаху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cторонніx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включень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хрусту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вiд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мiнеральних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домiшок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хвороб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плiсняви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Вiдповiднiсть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дiючого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санiтарного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обов'язкова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придатностi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товару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бiльше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48 годин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моментy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8F1FBF" w14:textId="77777777" w:rsidR="00A12C21" w:rsidRDefault="00A12C21">
            <w:pPr>
              <w:tabs>
                <w:tab w:val="left" w:pos="708"/>
              </w:tabs>
              <w:suppressAutoHyphens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1800 </w:t>
            </w:r>
          </w:p>
        </w:tc>
      </w:tr>
      <w:tr w:rsidR="00A12C21" w14:paraId="72032A60" w14:textId="77777777" w:rsidTr="00A12C21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55BBB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CF656" w14:textId="77777777" w:rsidR="00A12C21" w:rsidRDefault="00A12C21">
            <w:pPr>
              <w:suppressAutoHyphens/>
              <w:spacing w:after="0" w:line="264" w:lineRule="auto"/>
              <w:ind w:firstLine="4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житньо-пшеничний</w:t>
            </w:r>
            <w:proofErr w:type="spellEnd"/>
          </w:p>
        </w:tc>
        <w:tc>
          <w:tcPr>
            <w:tcW w:w="549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D5FB5E" w14:textId="77777777" w:rsidR="00A12C21" w:rsidRDefault="00A12C21">
            <w:pPr>
              <w:suppressAutoHyphens/>
              <w:spacing w:after="2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пшеничного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ґатунку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0.9 кг.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повинен бути добре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пропеченим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липким 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вологим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грудочок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пустот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слідів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непроміса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рівномірною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пористістю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еластичним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розпливчастим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притисків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виливів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поверхня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гладка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наколами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підрізами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присипкою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без них, без великих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тріщин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великих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підривів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допустима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борошнистість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нижньої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скоринок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1919E5" w14:textId="77777777" w:rsidR="00A12C21" w:rsidRDefault="00A12C21">
            <w:pPr>
              <w:tabs>
                <w:tab w:val="left" w:pos="708"/>
              </w:tabs>
              <w:suppressAutoHyphens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A12C21" w14:paraId="2DD303F6" w14:textId="77777777" w:rsidTr="00A12C21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7D89F3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2230D4" w14:textId="77777777" w:rsidR="00A12C21" w:rsidRDefault="00A12C21">
            <w:pPr>
              <w:suppressAutoHyphens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Батон</w:t>
            </w:r>
          </w:p>
        </w:tc>
        <w:tc>
          <w:tcPr>
            <w:tcW w:w="549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4F55A" w14:textId="77777777" w:rsidR="00A12C21" w:rsidRDefault="00A12C21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Батон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виготовлений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пшеничного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ґатунку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0.45 кг.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Поверхня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гладка,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забруднення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підгорілості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світло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жовтий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м’якуша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добре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пропечений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еластичний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piвномірною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пористiстю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слiдiв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непромiсу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грудочок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Смак та запах: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запаху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cторонніx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включень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хрусту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вiд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мiнеральних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домiшок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хвороб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плiсняви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Вiдповiднiсть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дiючого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санiтарного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обов'язкова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придатностi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товару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бiльше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48 годин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моментy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F54E8C" w14:textId="77777777" w:rsidR="00A12C21" w:rsidRDefault="00A12C21">
            <w:pPr>
              <w:tabs>
                <w:tab w:val="left" w:pos="708"/>
              </w:tabs>
              <w:suppressAutoHyphens/>
              <w:ind w:left="-156" w:right="-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A12C21" w14:paraId="7A3A93DE" w14:textId="77777777" w:rsidTr="00A12C21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BC990" w14:textId="77777777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8060F1" w14:textId="6C3AB9E7" w:rsidR="00A12C21" w:rsidRPr="00292A48" w:rsidRDefault="00A12C21">
            <w:pPr>
              <w:suppressAutoHyphens/>
              <w:spacing w:after="0" w:line="264" w:lineRule="auto"/>
              <w:jc w:val="center"/>
              <w:rPr>
                <w:b/>
                <w:bCs/>
                <w:lang w:val="uk-UA"/>
              </w:rPr>
            </w:pPr>
            <w:r w:rsidRPr="00292A48">
              <w:rPr>
                <w:b/>
                <w:bCs/>
                <w:lang w:val="uk-UA"/>
              </w:rPr>
              <w:t>Булка з маком</w:t>
            </w:r>
          </w:p>
        </w:tc>
        <w:tc>
          <w:tcPr>
            <w:tcW w:w="5498" w:type="dxa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53E11" w14:textId="08BD3D4D" w:rsidR="00A12C21" w:rsidRDefault="00A12C21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Булочка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пшеничного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води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цукру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дріжджів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хлібопекарських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пресованих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маргарину,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соняшникової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яєць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кухонної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ваніліну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начинкою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обов`язкова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Вага: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AD218" w14:textId="77777777" w:rsidR="00A12C21" w:rsidRDefault="00A12C2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</w:tr>
      <w:tr w:rsidR="00A12C21" w14:paraId="08D4564C" w14:textId="77777777" w:rsidTr="0045231C">
        <w:trPr>
          <w:trHeight w:val="70"/>
        </w:trPr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7B1D9" w14:textId="6FCD2B76" w:rsidR="00A12C21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E9199" w14:textId="684C48EF" w:rsidR="00A12C21" w:rsidRDefault="00A12C21" w:rsidP="00292A48">
            <w:pPr>
              <w:suppressAutoHyphens/>
              <w:spacing w:after="0" w:line="264" w:lineRule="auto"/>
            </w:pPr>
          </w:p>
        </w:tc>
        <w:tc>
          <w:tcPr>
            <w:tcW w:w="5498" w:type="dxa"/>
            <w:vMerge w:val="restart"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ABE5B6" w14:textId="469EBB2F" w:rsidR="00A12C21" w:rsidRDefault="00A12C21">
            <w:pPr>
              <w:suppressAutoHyphens/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Кекс має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виготовлен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борошна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пшеничного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води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цукру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дріжджів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хлібопекарських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пресованих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маргарину,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соняшникової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яєць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кухонної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ваніліну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посипка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цукровою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пудрою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збитим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обов`язкова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Вага: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500 г.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983FCC" w14:textId="1DF81243" w:rsidR="00A12C21" w:rsidRDefault="00A12C21" w:rsidP="00292A48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12C21" w14:paraId="4EE4BD1D" w14:textId="77777777" w:rsidTr="00A12C21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FF4546" w14:textId="6FF6F2CA" w:rsidR="00A12C21" w:rsidRPr="00292A48" w:rsidRDefault="00A12C21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179F3" w14:textId="77777777" w:rsidR="00A12C21" w:rsidRDefault="00A12C21">
            <w:pPr>
              <w:suppressAutoHyphens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Кекс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Великодний</w:t>
            </w:r>
            <w:proofErr w:type="spellEnd"/>
          </w:p>
        </w:tc>
        <w:tc>
          <w:tcPr>
            <w:tcW w:w="549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DEFA3E" w14:textId="77777777" w:rsidR="00A12C21" w:rsidRDefault="00A12C21">
            <w:pPr>
              <w:spacing w:after="200" w:line="276" w:lineRule="auto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31CCE" w14:textId="27044F96" w:rsidR="00A12C21" w:rsidRPr="00292A48" w:rsidRDefault="00A12C2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lang w:val="uk-UA"/>
              </w:rPr>
              <w:t>0</w:t>
            </w:r>
          </w:p>
        </w:tc>
      </w:tr>
    </w:tbl>
    <w:p w14:paraId="3837D6CE" w14:textId="77777777" w:rsidR="00A858AE" w:rsidRDefault="00A858A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14:paraId="51386B6F" w14:textId="77777777" w:rsidR="00A858AE" w:rsidRDefault="00117E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7C7E6FEA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Строки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до 31 </w:t>
      </w:r>
      <w:proofErr w:type="spellStart"/>
      <w:r>
        <w:rPr>
          <w:rFonts w:ascii="Times New Roman" w:eastAsia="Times New Roman" w:hAnsi="Times New Roman" w:cs="Times New Roman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2024 року, невеликими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потребою,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1-го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дня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пошті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1998681C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DEB6A5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дрібними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асортименті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заявками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29117B76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придатності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момент поставки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супровідній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</w:rPr>
        <w:t>етикетці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гарантійним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обчислюється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1EBA1517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спеціальному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сумісності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63C7E82C" w14:textId="77777777" w:rsidR="00A858AE" w:rsidRDefault="00117EBC">
      <w:pPr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06.12.2018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2639-VIII.</w:t>
      </w:r>
    </w:p>
    <w:p w14:paraId="0722D181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пропонує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завантажування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розвантажування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DCBFC75" w14:textId="77777777" w:rsidR="00A858AE" w:rsidRDefault="00117E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5A0EFFD" w14:textId="77777777" w:rsidR="00A858AE" w:rsidRDefault="00117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лист з </w:t>
      </w:r>
      <w:proofErr w:type="spellStart"/>
      <w:r>
        <w:rPr>
          <w:rFonts w:ascii="Times New Roman" w:eastAsia="Times New Roman" w:hAnsi="Times New Roman" w:cs="Times New Roman"/>
          <w:sz w:val="24"/>
        </w:rPr>
        <w:t>описом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функціональних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характеристик  товару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товару;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адреса;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характеристики, у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стандартам,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ДСТУ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ТУ; вид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розфасовки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(тару);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14:paraId="3A23B4CC" w14:textId="77777777" w:rsidR="00A858AE" w:rsidRDefault="00117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виданого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у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ДСТУ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ТУ,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06DBC191" w14:textId="77777777" w:rsidR="00A858AE" w:rsidRDefault="00117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безпечності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експлуатаційного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обігу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номер у Державному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ринку.</w:t>
      </w:r>
    </w:p>
    <w:p w14:paraId="379D87C8" w14:textId="77777777" w:rsidR="00A858AE" w:rsidRDefault="00117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Разом з кожною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партією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товару повинна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надаватися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супровідна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(товарно-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накладна,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видаткова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накладна, документ,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безпечність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санітарно-гігієнічним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14:paraId="316ECEA9" w14:textId="77777777" w:rsidR="00A858AE" w:rsidRDefault="00117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транспорту, 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супроводжують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дорозі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вантажно-розвантажувальні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книжку з результатами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оглядів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14.10.1997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363 «Про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перевезень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вантажів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транспортом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02FAFC6B" w14:textId="77777777" w:rsidR="00A858AE" w:rsidRDefault="00117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лист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бланку,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особи)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до закладу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перемоги,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конкретного товару, з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ДСТУ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 (за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)) стандартах):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,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1B2523C" w14:textId="77777777" w:rsidR="00A858AE" w:rsidRDefault="00A858AE">
      <w:pPr>
        <w:suppressAutoHyphens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6109BEEF" w14:textId="77777777" w:rsidR="00A858AE" w:rsidRDefault="00A858AE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</w:rPr>
      </w:pPr>
    </w:p>
    <w:p w14:paraId="4DEEC066" w14:textId="77777777" w:rsidR="00A858AE" w:rsidRDefault="00A858AE">
      <w:pPr>
        <w:tabs>
          <w:tab w:val="left" w:pos="708"/>
        </w:tabs>
        <w:suppressAutoHyphens/>
        <w:ind w:right="-25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14:paraId="5B57E045" w14:textId="77777777" w:rsidR="00A858AE" w:rsidRDefault="00A858AE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A8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E"/>
    <w:rsid w:val="00117EBC"/>
    <w:rsid w:val="001F288A"/>
    <w:rsid w:val="00292A48"/>
    <w:rsid w:val="0045231C"/>
    <w:rsid w:val="00A12C21"/>
    <w:rsid w:val="00A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4981"/>
  <w15:docId w15:val="{A63916CF-4410-4341-9F65-3F8A977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2024-02-27T06:40:00Z</dcterms:created>
  <dcterms:modified xsi:type="dcterms:W3CDTF">2024-02-27T08:07:00Z</dcterms:modified>
</cp:coreProperties>
</file>