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Додаток 3 </w:t>
      </w:r>
    </w:p>
    <w:p w:rsidR="00D1647B" w:rsidRDefault="00D1647B" w:rsidP="00D1647B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D1647B" w:rsidRDefault="00D1647B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12055" w:rsidRPr="00D1647B" w:rsidRDefault="00584D60" w:rsidP="00D1647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D1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412055" w:rsidRPr="00D1647B" w:rsidRDefault="00412055" w:rsidP="009D311F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5"/>
        <w:tblW w:w="9135" w:type="dxa"/>
        <w:jc w:val="center"/>
        <w:tblInd w:w="0" w:type="dxa"/>
        <w:tblLayout w:type="fixed"/>
        <w:tblLook w:val="0400"/>
      </w:tblPr>
      <w:tblGrid>
        <w:gridCol w:w="2925"/>
        <w:gridCol w:w="6210"/>
      </w:tblGrid>
      <w:tr w:rsidR="00BC7574" w:rsidTr="00BC7574">
        <w:trPr>
          <w:trHeight w:val="690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574" w:rsidRDefault="00BC75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9D3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 підтверджують відповідність Учасника кваліфікаційним критеріям</w:t>
            </w:r>
          </w:p>
        </w:tc>
      </w:tr>
      <w:tr w:rsidR="00BC7574" w:rsidTr="00BC7574">
        <w:trPr>
          <w:trHeight w:val="2255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74" w:rsidRPr="00363DC1" w:rsidRDefault="00BC75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Довідка, що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містить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 xml:space="preserve"> інформацію про досвід виконання аналогічних договорів</w:t>
            </w:r>
            <w:r w:rsidRPr="00363DC1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>1.</w:t>
            </w:r>
            <w:r w:rsidR="00245677" w:rsidRPr="00363DC1">
              <w:rPr>
                <w:rFonts w:ascii="Times New Roman" w:eastAsia="Times New Roman" w:hAnsi="Times New Roman"/>
                <w:lang w:val="uk-UA"/>
              </w:rPr>
              <w:t>1</w:t>
            </w:r>
            <w:r w:rsidRPr="00363DC1">
              <w:rPr>
                <w:rFonts w:ascii="Times New Roman" w:eastAsia="Times New Roman" w:hAnsi="Times New Roman"/>
              </w:rPr>
              <w:t xml:space="preserve">.Інформація, зазначена у довідці,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ідтверджується наступними документами:</w:t>
            </w:r>
          </w:p>
          <w:p w:rsidR="0052365C" w:rsidRPr="00363DC1" w:rsidRDefault="0052365C" w:rsidP="0052365C">
            <w:pPr>
              <w:numPr>
                <w:ilvl w:val="0"/>
                <w:numId w:val="13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не менше одного договору та документами, що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ідтверджують виконання такого договору (-ів)   в повному обсязі (видаткові накладні або інші документи передбаченні при поставці вказаного товару) (вказані документи подаються по всіх договорах, що були зазначенні у довідці).</w:t>
            </w:r>
          </w:p>
          <w:p w:rsidR="0052365C" w:rsidRPr="00363DC1" w:rsidRDefault="0052365C" w:rsidP="0052365C">
            <w:pPr>
              <w:numPr>
                <w:ilvl w:val="0"/>
                <w:numId w:val="13"/>
              </w:numPr>
              <w:spacing w:after="0" w:line="240" w:lineRule="auto"/>
              <w:ind w:left="509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 xml:space="preserve">листами  відгуками по договорах, що наведені у довідці. Відгуки повинні бути належно оформлені, містити вихідний номер та дату видачі такого документу, реквізити аналогічного договору, </w:t>
            </w:r>
            <w:proofErr w:type="gramStart"/>
            <w:r w:rsidRPr="00363DC1">
              <w:rPr>
                <w:rFonts w:ascii="Times New Roman" w:eastAsia="Times New Roman" w:hAnsi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/>
              </w:rPr>
              <w:t>ідтверджувати належне та своєчасне виконання умов договору.</w:t>
            </w:r>
          </w:p>
          <w:p w:rsidR="0052365C" w:rsidRPr="00363DC1" w:rsidRDefault="0052365C" w:rsidP="005236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3DC1">
              <w:rPr>
                <w:rFonts w:ascii="Times New Roman" w:eastAsia="Times New Roman" w:hAnsi="Times New Roman"/>
              </w:rPr>
              <w:t>Примітки:</w:t>
            </w:r>
          </w:p>
          <w:p w:rsidR="00BC7574" w:rsidRPr="00363DC1" w:rsidRDefault="00BC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7574" w:rsidRPr="00D11504" w:rsidRDefault="00D11504" w:rsidP="00D11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"Аналогічним договором відповідно до умов цієї Документації є догові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, щодо поставки товару за кодом ДК 021:2015 - 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</w:rPr>
              <w:t>336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</w:rPr>
              <w:t>000-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63DC1" w:rsidRPr="00363DC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Лікарські засоби різні (Лабораторні реактиви)</w:t>
            </w:r>
          </w:p>
        </w:tc>
      </w:tr>
    </w:tbl>
    <w:p w:rsidR="00412055" w:rsidRPr="00363DC1" w:rsidRDefault="00584D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i/>
          <w:color w:val="000000"/>
        </w:rPr>
        <w:t xml:space="preserve">У разі участі об’єднання учасників </w:t>
      </w:r>
      <w:proofErr w:type="gramStart"/>
      <w:r w:rsidRPr="00363DC1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412055" w:rsidRPr="00363DC1" w:rsidRDefault="0041205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2055" w:rsidRDefault="00584D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12055" w:rsidRPr="00363DC1" w:rsidRDefault="00584D6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363DC1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363DC1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363DC1">
        <w:rPr>
          <w:rFonts w:ascii="Times New Roman" w:eastAsia="Times New Roman" w:hAnsi="Times New Roman" w:cs="Times New Roman"/>
        </w:rPr>
        <w:t>п</w:t>
      </w:r>
      <w:proofErr w:type="gramEnd"/>
      <w:r w:rsidRPr="00363DC1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363DC1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363DC1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363DC1">
        <w:rPr>
          <w:rFonts w:ascii="Times New Roman" w:eastAsia="Times New Roman" w:hAnsi="Times New Roman" w:cs="Times New Roman"/>
        </w:rPr>
        <w:t>вл</w:t>
      </w:r>
      <w:proofErr w:type="gramEnd"/>
      <w:r w:rsidRPr="00363DC1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363DC1">
        <w:rPr>
          <w:rFonts w:ascii="Times New Roman" w:eastAsia="Times New Roman" w:hAnsi="Times New Roman" w:cs="Times New Roman"/>
        </w:rPr>
        <w:t>п</w:t>
      </w:r>
      <w:proofErr w:type="gramEnd"/>
      <w:r w:rsidRPr="00363DC1">
        <w:rPr>
          <w:rFonts w:ascii="Times New Roman" w:eastAsia="Times New Roman" w:hAnsi="Times New Roman" w:cs="Times New Roman"/>
        </w:rPr>
        <w:t xml:space="preserve">ідтвердження достатнім, учаснику </w:t>
      </w:r>
      <w:r w:rsidRPr="00363DC1">
        <w:rPr>
          <w:rFonts w:ascii="Times New Roman" w:eastAsia="Times New Roman" w:hAnsi="Times New Roman" w:cs="Times New Roman"/>
        </w:rPr>
        <w:lastRenderedPageBreak/>
        <w:t>процедури закупівлі не може бути відмовлено в участі в процедурі закупівлі.</w:t>
      </w:r>
    </w:p>
    <w:p w:rsidR="00412055" w:rsidRPr="00363DC1" w:rsidRDefault="00584D60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363DC1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363DC1">
        <w:rPr>
          <w:rFonts w:ascii="Times New Roman" w:eastAsia="Times New Roman" w:hAnsi="Times New Roman" w:cs="Times New Roman"/>
          <w:i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371A8" w:rsidRPr="00E371A8" w:rsidRDefault="00E371A8" w:rsidP="00E37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2055" w:rsidRDefault="0058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63DC1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363DC1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63DC1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363DC1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363DC1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412055" w:rsidRPr="00363DC1" w:rsidRDefault="00584D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3DC1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412055" w:rsidRPr="00363DC1" w:rsidRDefault="00584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3.1</w:t>
      </w:r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. Документи, які надаються  ПЕРЕМОЖЦЕМ (юридичною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412055" w:rsidRPr="00363DC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412055" w:rsidRPr="00363DC1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363DC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6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7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8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9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0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1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2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4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15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412055" w:rsidRPr="00363DC1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04.09.2023 р. Національне агентство з </w:t>
            </w:r>
            <w:r w:rsidRPr="00363DC1">
              <w:rPr>
                <w:rFonts w:ascii="Times New Roman" w:eastAsia="Times New Roman" w:hAnsi="Times New Roman" w:cs="Times New Roman"/>
              </w:rPr>
              <w:lastRenderedPageBreak/>
              <w:t>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свою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роботу, так і відкриватись, поновлюватись у період воєнного стану.</w:t>
            </w:r>
          </w:p>
          <w:p w:rsidR="00412055" w:rsidRPr="00363DC1" w:rsidRDefault="00584D6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і, надається переможцем.</w:t>
            </w:r>
          </w:p>
        </w:tc>
      </w:tr>
      <w:tr w:rsidR="00412055" w:rsidRPr="00363DC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12055" w:rsidRPr="00363DC1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412055" w:rsidRPr="00363DC1" w:rsidRDefault="00584D60" w:rsidP="00363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сформований/ отриманий в поточному </w:t>
            </w:r>
            <w:r w:rsidR="00363DC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місяці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. </w:t>
            </w:r>
          </w:p>
        </w:tc>
      </w:tr>
      <w:tr w:rsidR="00412055" w:rsidRPr="00363DC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2055" w:rsidRPr="00363DC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в участі у відкритих торгах.  </w:t>
            </w:r>
          </w:p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Довідка в довільній формі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12055" w:rsidRPr="00363DC1" w:rsidRDefault="00584D60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 w:rsidRPr="00363DC1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412055" w:rsidRPr="00363DC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412055" w:rsidRPr="00363DC1" w:rsidRDefault="00412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363DC1">
              <w:rPr>
                <w:rFonts w:ascii="Times New Roman" w:eastAsia="Times New Roman" w:hAnsi="Times New Roman" w:cs="Times New Roman"/>
              </w:rPr>
              <w:t>ливостей</w:t>
            </w: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412055" w:rsidRPr="00363DC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Згідно з пунктом 47 Особливостей -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6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7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8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19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0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цього пункту.</w:t>
            </w:r>
          </w:p>
          <w:p w:rsidR="00412055" w:rsidRPr="00363DC1" w:rsidRDefault="00584D6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Згідно з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21" w:anchor="n618">
              <w:r w:rsidRPr="00363DC1">
                <w:rPr>
                  <w:rFonts w:ascii="Times New Roman" w:eastAsia="Times New Roman" w:hAnsi="Times New Roman" w:cs="Times New Roman"/>
                </w:rPr>
                <w:t>підпунктах 3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2" w:anchor="n620">
              <w:r w:rsidRPr="00363DC1">
                <w:rPr>
                  <w:rFonts w:ascii="Times New Roman" w:eastAsia="Times New Roman" w:hAnsi="Times New Roman" w:cs="Times New Roman"/>
                </w:rPr>
                <w:t>5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 w:anchor="n621">
              <w:r w:rsidRPr="00363DC1">
                <w:rPr>
                  <w:rFonts w:ascii="Times New Roman" w:eastAsia="Times New Roman" w:hAnsi="Times New Roman" w:cs="Times New Roman"/>
                </w:rPr>
                <w:t>6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і </w:t>
            </w:r>
            <w:hyperlink r:id="rId24" w:anchor="n627">
              <w:r w:rsidRPr="00363DC1">
                <w:rPr>
                  <w:rFonts w:ascii="Times New Roman" w:eastAsia="Times New Roman" w:hAnsi="Times New Roman" w:cs="Times New Roman"/>
                </w:rPr>
                <w:t>12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та в </w:t>
            </w:r>
            <w:hyperlink r:id="rId25" w:anchor="n628">
              <w:r w:rsidRPr="00363DC1">
                <w:rPr>
                  <w:rFonts w:ascii="Times New Roman" w:eastAsia="Times New Roman" w:hAnsi="Times New Roman" w:cs="Times New Roman"/>
                </w:rPr>
                <w:t>абзаці чотирнадцятому</w:t>
              </w:r>
            </w:hyperlink>
            <w:r w:rsidRPr="00363DC1">
              <w:rPr>
                <w:rFonts w:ascii="Times New Roman" w:eastAsia="Times New Roman" w:hAnsi="Times New Roman" w:cs="Times New Roman"/>
              </w:rPr>
              <w:t xml:space="preserve"> пункту 47 Особливостей.</w:t>
            </w:r>
          </w:p>
          <w:p w:rsidR="007978E5" w:rsidRPr="00363DC1" w:rsidRDefault="007978E5" w:rsidP="007978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C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  <w:p w:rsidR="00412055" w:rsidRPr="00363DC1" w:rsidRDefault="0041205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363DC1" w:rsidTr="007978E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Фізична особа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, яка є учасником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412055" w:rsidRPr="00363DC1" w:rsidRDefault="0041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12055" w:rsidRPr="00363DC1" w:rsidRDefault="00584D60" w:rsidP="0060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повинен бути виданий/ сформований/ отриманий в поточному </w:t>
            </w:r>
            <w:r w:rsidR="00606F8C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місяці</w:t>
            </w: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055" w:rsidRPr="00363DC1" w:rsidTr="007978E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412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055" w:rsidRPr="00363DC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363DC1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363DC1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412055" w:rsidRPr="00363DC1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58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63DC1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363DC1">
        <w:rPr>
          <w:rFonts w:ascii="Times New Roman" w:eastAsia="Times New Roman" w:hAnsi="Times New Roman" w:cs="Times New Roman"/>
          <w:b/>
        </w:rPr>
        <w:t>—</w:t>
      </w:r>
      <w:r w:rsidRPr="00363DC1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363DC1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363DC1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363DC1">
        <w:rPr>
          <w:rFonts w:ascii="Times New Roman" w:eastAsia="Times New Roman" w:hAnsi="Times New Roman" w:cs="Times New Roman"/>
          <w:b/>
          <w:color w:val="000000"/>
        </w:rPr>
        <w:t>ідприємців)</w:t>
      </w:r>
      <w:r w:rsidRPr="00363DC1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412055" w:rsidRPr="00363DC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412055" w:rsidRPr="00363D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363DC1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363DC1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12055" w:rsidRPr="00363D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412055" w:rsidRPr="00363DC1" w:rsidRDefault="00584D6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(Надається лише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раз</w:t>
            </w:r>
            <w:proofErr w:type="gramEnd"/>
            <w:r w:rsidRPr="00363DC1">
              <w:rPr>
                <w:rFonts w:ascii="Times New Roman" w:eastAsia="Times New Roman" w:hAnsi="Times New Roman" w:cs="Times New Roman"/>
                <w:b/>
                <w:color w:val="00000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412055" w:rsidRPr="00363D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C1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055" w:rsidRPr="00363DC1" w:rsidRDefault="0058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:</w:t>
            </w:r>
          </w:p>
          <w:p w:rsidR="00D1647B" w:rsidRPr="00363DC1" w:rsidRDefault="00584D60" w:rsidP="003C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63DC1">
              <w:rPr>
                <w:rFonts w:ascii="Times New Roman" w:eastAsia="Times New Roman" w:hAnsi="Times New Roman" w:cs="Times New Roman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>іальній службі транспорту або</w:t>
            </w:r>
          </w:p>
          <w:p w:rsidR="00412055" w:rsidRPr="00363DC1" w:rsidRDefault="00584D60" w:rsidP="00D16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3DC1">
              <w:rPr>
                <w:rFonts w:ascii="Times New Roman" w:eastAsia="Times New Roman" w:hAnsi="Times New Roman" w:cs="Times New Roman"/>
                <w:lang w:val="uk-UA"/>
              </w:rPr>
              <w:t xml:space="preserve"> Національній гвардії України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363DC1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</w:t>
            </w:r>
            <w:r w:rsidRPr="00363DC1">
              <w:rPr>
                <w:rFonts w:ascii="Times New Roman" w:eastAsia="Times New Roman" w:hAnsi="Times New Roman" w:cs="Times New Roman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• Ухвалу слідчого судді, суду, щодо арешту активів,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або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br/>
            </w:r>
            <w:r w:rsidRPr="00363DC1">
              <w:rPr>
                <w:rFonts w:ascii="Times New Roman" w:eastAsia="Times New Roman" w:hAnsi="Times New Roman" w:cs="Times New Roman"/>
              </w:rPr>
              <w:t xml:space="preserve"> • Нотаріально</w:t>
            </w:r>
            <w:r w:rsidR="003C2E5F" w:rsidRPr="00363DC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DC1">
              <w:rPr>
                <w:rFonts w:ascii="Times New Roman" w:eastAsia="Times New Roman" w:hAnsi="Times New Roman" w:cs="Times New Roman"/>
              </w:rPr>
              <w:t>засвідчену копію згоди власника, щодо управління активами,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а також: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• Догові</w:t>
            </w:r>
            <w:proofErr w:type="gramStart"/>
            <w:r w:rsidRPr="00363DC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63DC1">
              <w:rPr>
                <w:rFonts w:ascii="Times New Roman" w:eastAsia="Times New Roman" w:hAnsi="Times New Roman" w:cs="Times New Roman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363DC1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t>або</w:t>
            </w:r>
            <w:r w:rsidRPr="00363DC1">
              <w:rPr>
                <w:rFonts w:ascii="Times New Roman" w:eastAsia="Times New Roman" w:hAnsi="Times New Roman" w:cs="Times New Roman"/>
                <w:i/>
              </w:rPr>
              <w:br/>
            </w:r>
            <w:r w:rsidRPr="00363DC1">
              <w:rPr>
                <w:rFonts w:ascii="Times New Roman" w:eastAsia="Times New Roman" w:hAnsi="Times New Roman" w:cs="Times New Roman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12055" w:rsidRPr="00363DC1" w:rsidRDefault="0041205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412055" w:rsidRPr="00363DC1" w:rsidSect="0035372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777" w:hanging="360"/>
      </w:pPr>
      <w:rPr>
        <w:rFonts w:ascii="Times New Roman" w:hAnsi="Times New Roman" w:cs="Symbol" w:hint="default"/>
      </w:rPr>
    </w:lvl>
  </w:abstractNum>
  <w:abstractNum w:abstractNumId="1">
    <w:nsid w:val="18411B0E"/>
    <w:multiLevelType w:val="multilevel"/>
    <w:tmpl w:val="2654E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CD29C0"/>
    <w:multiLevelType w:val="hybridMultilevel"/>
    <w:tmpl w:val="08368298"/>
    <w:lvl w:ilvl="0" w:tplc="71729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839"/>
    <w:multiLevelType w:val="multilevel"/>
    <w:tmpl w:val="2F02B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7AE5823"/>
    <w:multiLevelType w:val="hybridMultilevel"/>
    <w:tmpl w:val="5B845F0A"/>
    <w:lvl w:ilvl="0" w:tplc="34A6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38F0"/>
    <w:multiLevelType w:val="hybridMultilevel"/>
    <w:tmpl w:val="CDB2A470"/>
    <w:lvl w:ilvl="0" w:tplc="CD106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345"/>
    <w:multiLevelType w:val="multilevel"/>
    <w:tmpl w:val="7A546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B526B8F"/>
    <w:multiLevelType w:val="hybridMultilevel"/>
    <w:tmpl w:val="4A40CB26"/>
    <w:lvl w:ilvl="0" w:tplc="DCE4A8E0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99F1DC8"/>
    <w:multiLevelType w:val="multilevel"/>
    <w:tmpl w:val="8810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E4969A9"/>
    <w:multiLevelType w:val="hybridMultilevel"/>
    <w:tmpl w:val="2E7463FE"/>
    <w:lvl w:ilvl="0" w:tplc="3A7E4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097A"/>
    <w:multiLevelType w:val="hybridMultilevel"/>
    <w:tmpl w:val="B4D4A0E4"/>
    <w:lvl w:ilvl="0" w:tplc="261AF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F56EC"/>
    <w:multiLevelType w:val="multilevel"/>
    <w:tmpl w:val="B002A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7F84145"/>
    <w:multiLevelType w:val="multilevel"/>
    <w:tmpl w:val="507AE9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412055"/>
    <w:rsid w:val="00245677"/>
    <w:rsid w:val="0035372E"/>
    <w:rsid w:val="00363DC1"/>
    <w:rsid w:val="003B0DA5"/>
    <w:rsid w:val="003C2E5F"/>
    <w:rsid w:val="00412055"/>
    <w:rsid w:val="0052365C"/>
    <w:rsid w:val="005311C8"/>
    <w:rsid w:val="00584D60"/>
    <w:rsid w:val="00606F8C"/>
    <w:rsid w:val="007978E5"/>
    <w:rsid w:val="009D311F"/>
    <w:rsid w:val="00AA063C"/>
    <w:rsid w:val="00BC7574"/>
    <w:rsid w:val="00C84769"/>
    <w:rsid w:val="00D11504"/>
    <w:rsid w:val="00D1647B"/>
    <w:rsid w:val="00E371A8"/>
    <w:rsid w:val="00F07D63"/>
    <w:rsid w:val="00F7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E"/>
  </w:style>
  <w:style w:type="paragraph" w:styleId="1">
    <w:name w:val="heading 1"/>
    <w:basedOn w:val="a"/>
    <w:next w:val="a"/>
    <w:uiPriority w:val="9"/>
    <w:qFormat/>
    <w:rsid w:val="003537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3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3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37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537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53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537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5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3537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35372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3537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245677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c">
    <w:name w:val="Без интервала Знак"/>
    <w:link w:val="afb"/>
    <w:locked/>
    <w:rsid w:val="00245677"/>
    <w:rPr>
      <w:rFonts w:cs="Times New Roman"/>
      <w:lang w:val="uk-UA" w:eastAsia="en-US"/>
    </w:rPr>
  </w:style>
  <w:style w:type="paragraph" w:customStyle="1" w:styleId="western">
    <w:name w:val="western"/>
    <w:basedOn w:val="a"/>
    <w:uiPriority w:val="99"/>
    <w:qFormat/>
    <w:rsid w:val="00245677"/>
    <w:pPr>
      <w:spacing w:before="100" w:beforeAutospacing="1" w:after="119" w:line="276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2022-10-24T07:10:00Z</dcterms:created>
  <dcterms:modified xsi:type="dcterms:W3CDTF">2024-02-21T15:07:00Z</dcterms:modified>
</cp:coreProperties>
</file>