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DE5834" w:rsidRDefault="00447F94" w:rsidP="00733421">
      <w:pPr>
        <w:spacing w:after="0" w:line="240" w:lineRule="auto"/>
        <w:jc w:val="both"/>
        <w:rPr>
          <w:rFonts w:ascii="Times New Roman" w:hAnsi="Times New Roman" w:cs="Times New Roman"/>
          <w:sz w:val="24"/>
          <w:szCs w:val="24"/>
        </w:rPr>
      </w:pPr>
      <w:r w:rsidRPr="00447F94">
        <w:rPr>
          <w:rFonts w:ascii="Times New Roman" w:hAnsi="Times New Roman" w:cs="Times New Roman"/>
          <w:b/>
          <w:sz w:val="24"/>
          <w:szCs w:val="24"/>
        </w:rPr>
        <w:t xml:space="preserve">Код ДК 021:2015 – 33120000-7 Системи реєстрації медичної інформації та дослідницьке обладнання (тонометр </w:t>
      </w:r>
      <w:r w:rsidR="00DC0018">
        <w:rPr>
          <w:rFonts w:ascii="Times New Roman" w:hAnsi="Times New Roman" w:cs="Times New Roman"/>
          <w:b/>
          <w:sz w:val="24"/>
          <w:szCs w:val="24"/>
        </w:rPr>
        <w:t>автоматичний</w:t>
      </w:r>
      <w:r w:rsidR="00A248CE">
        <w:rPr>
          <w:rFonts w:ascii="Times New Roman" w:hAnsi="Times New Roman" w:cs="Times New Roman"/>
          <w:b/>
          <w:sz w:val="24"/>
          <w:szCs w:val="24"/>
        </w:rPr>
        <w:t xml:space="preserve"> на зап’ястя</w:t>
      </w:r>
      <w:bookmarkStart w:id="0" w:name="_GoBack"/>
      <w:bookmarkEnd w:id="0"/>
      <w:r w:rsidRPr="00447F94">
        <w:rPr>
          <w:rFonts w:ascii="Times New Roman" w:hAnsi="Times New Roman" w:cs="Times New Roman"/>
          <w:b/>
          <w:sz w:val="24"/>
          <w:szCs w:val="24"/>
        </w:rPr>
        <w:t xml:space="preserve">) </w:t>
      </w:r>
      <w:r w:rsidR="00931A87">
        <w:rPr>
          <w:rFonts w:ascii="Times New Roman" w:hAnsi="Times New Roman" w:cs="Times New Roman"/>
          <w:b/>
          <w:sz w:val="24"/>
          <w:szCs w:val="24"/>
        </w:rPr>
        <w:t xml:space="preserve"> </w:t>
      </w:r>
      <w:r w:rsidR="00DE5834"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 xml:space="preserve">______________грн.  (____________)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sidR="00D92CF9">
        <w:rPr>
          <w:rFonts w:ascii="Times New Roman" w:eastAsia="Times New Roman" w:hAnsi="Times New Roman" w:cs="Times New Roman"/>
          <w:b/>
          <w:color w:val="000000"/>
          <w:sz w:val="24"/>
          <w:szCs w:val="24"/>
          <w:lang w:eastAsia="ru-RU"/>
        </w:rPr>
        <w:t>В.</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Джерело фінансування – кошти</w:t>
      </w:r>
      <w:r w:rsidR="00166CD0" w:rsidRPr="00166CD0">
        <w:rPr>
          <w:rFonts w:ascii="Times New Roman" w:eastAsia="Times New Roman" w:hAnsi="Times New Roman" w:cs="Times New Roman"/>
          <w:b/>
          <w:color w:val="000000"/>
          <w:sz w:val="24"/>
          <w:szCs w:val="24"/>
          <w:lang w:val="ru-RU" w:eastAsia="ru-RU"/>
        </w:rPr>
        <w:t xml:space="preserve"> </w:t>
      </w:r>
      <w:r w:rsidR="00166CD0">
        <w:rPr>
          <w:rFonts w:ascii="Times New Roman" w:eastAsia="Times New Roman" w:hAnsi="Times New Roman" w:cs="Times New Roman"/>
          <w:b/>
          <w:color w:val="000000"/>
          <w:sz w:val="24"/>
          <w:szCs w:val="24"/>
          <w:lang w:eastAsia="ru-RU"/>
        </w:rPr>
        <w:t>Благодійного фонду «Здорові рішення для відкритого суспільства»</w:t>
      </w:r>
      <w:r>
        <w:rPr>
          <w:rFonts w:ascii="Times New Roman" w:eastAsia="Times New Roman" w:hAnsi="Times New Roman" w:cs="Times New Roman"/>
          <w:b/>
          <w:color w:val="000000"/>
          <w:sz w:val="24"/>
          <w:szCs w:val="24"/>
          <w:lang w:eastAsia="ru-RU"/>
        </w:rPr>
        <w:t xml:space="preserve">.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w:t>
      </w:r>
      <w:r w:rsidRPr="005036FA">
        <w:rPr>
          <w:rFonts w:ascii="Times New Roman" w:hAnsi="Times New Roman" w:cs="Times New Roman"/>
          <w:bCs/>
          <w:sz w:val="24"/>
          <w:szCs w:val="24"/>
        </w:rPr>
        <w:lastRenderedPageBreak/>
        <w:t>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Pr="005806AE"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A20538"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1445EB" w:rsidRDefault="00DE5834" w:rsidP="00D92CF9">
      <w:pPr>
        <w:spacing w:after="0"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w:t>
      </w:r>
      <w:r w:rsidR="002C4E70">
        <w:rPr>
          <w:rFonts w:ascii="Times New Roman" w:hAnsi="Times New Roman" w:cs="Times New Roman"/>
          <w:sz w:val="24"/>
          <w:szCs w:val="24"/>
        </w:rPr>
        <w:t xml:space="preserve"> «Державний ощадний банк</w:t>
      </w:r>
      <w:r>
        <w:rPr>
          <w:rFonts w:ascii="Times New Roman" w:hAnsi="Times New Roman" w:cs="Times New Roman"/>
          <w:sz w:val="24"/>
          <w:szCs w:val="24"/>
        </w:rPr>
        <w:t xml:space="preserve">» МФО </w:t>
      </w:r>
      <w:r w:rsidR="00A20538">
        <w:rPr>
          <w:rFonts w:ascii="Times New Roman" w:hAnsi="Times New Roman" w:cs="Times New Roman"/>
          <w:sz w:val="24"/>
          <w:szCs w:val="24"/>
        </w:rPr>
        <w:t>335106</w:t>
      </w:r>
    </w:p>
    <w:p w:rsidR="00DE5834" w:rsidRPr="005806AE" w:rsidRDefault="00DE5834" w:rsidP="00D92CF9">
      <w:pPr>
        <w:shd w:val="clear" w:color="auto" w:fill="FFFFFF"/>
        <w:tabs>
          <w:tab w:val="left" w:pos="142"/>
          <w:tab w:val="left" w:pos="284"/>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92CF9">
      <w:pPr>
        <w:widowControl w:val="0"/>
        <w:autoSpaceDE w:val="0"/>
        <w:autoSpaceDN w:val="0"/>
        <w:adjustRightInd w:val="0"/>
        <w:spacing w:after="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92CF9">
      <w:pPr>
        <w:spacing w:after="0"/>
        <w:jc w:val="both"/>
        <w:rPr>
          <w:rFonts w:ascii="Times New Roman" w:hAnsi="Times New Roman" w:cs="Times New Roman"/>
          <w:b/>
          <w:sz w:val="24"/>
          <w:szCs w:val="24"/>
        </w:rPr>
      </w:pPr>
    </w:p>
    <w:p w:rsidR="00E53234" w:rsidRDefault="00E53234" w:rsidP="00D92CF9">
      <w:pPr>
        <w:spacing w:after="0"/>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65"/>
        <w:gridCol w:w="992"/>
        <w:gridCol w:w="820"/>
        <w:gridCol w:w="1120"/>
        <w:gridCol w:w="957"/>
      </w:tblGrid>
      <w:tr w:rsidR="00565123" w:rsidRPr="005806AE" w:rsidTr="00A20538">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A20538">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A20538">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931A87" w:rsidRDefault="00565123" w:rsidP="000A1875">
            <w:pPr>
              <w:pStyle w:val="a6"/>
              <w:jc w:val="center"/>
              <w:rPr>
                <w:lang w:val="uk-UA"/>
              </w:rPr>
            </w:pPr>
            <w:r w:rsidRPr="00931A87">
              <w:rPr>
                <w:lang w:val="uk-UA"/>
              </w:rPr>
              <w:t>1</w:t>
            </w:r>
          </w:p>
        </w:tc>
        <w:tc>
          <w:tcPr>
            <w:tcW w:w="4565" w:type="dxa"/>
            <w:tcBorders>
              <w:top w:val="single" w:sz="4" w:space="0" w:color="auto"/>
              <w:left w:val="single" w:sz="4" w:space="0" w:color="auto"/>
              <w:bottom w:val="single" w:sz="4" w:space="0" w:color="auto"/>
              <w:right w:val="single" w:sz="4" w:space="0" w:color="auto"/>
            </w:tcBorders>
          </w:tcPr>
          <w:p w:rsidR="00565123" w:rsidRPr="00931A87" w:rsidRDefault="00565123" w:rsidP="007618B0">
            <w:pPr>
              <w:pStyle w:val="a6"/>
              <w:rPr>
                <w:rStyle w:val="longtext"/>
                <w:vanish/>
                <w:shd w:val="clear" w:color="auto" w:fill="FFFFFF"/>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65123" w:rsidRPr="00A20538" w:rsidRDefault="00166CD0" w:rsidP="000A1875">
            <w:pPr>
              <w:pStyle w:val="a6"/>
              <w:jc w:val="center"/>
              <w:rPr>
                <w:lang w:val="uk-UA"/>
              </w:rPr>
            </w:pPr>
            <w:r w:rsidRPr="00A20538">
              <w:rPr>
                <w:lang w:val="uk-UA"/>
              </w:rPr>
              <w:t>Шт.</w:t>
            </w: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A20538" w:rsidRDefault="00931A87" w:rsidP="000A1875">
            <w:pPr>
              <w:pStyle w:val="a6"/>
              <w:jc w:val="center"/>
              <w:rPr>
                <w:lang w:val="uk-UA"/>
              </w:rPr>
            </w:pPr>
            <w:r>
              <w:rPr>
                <w:lang w:val="uk-UA"/>
              </w:rPr>
              <w:t>1</w:t>
            </w: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A20538" w:rsidRDefault="00565123" w:rsidP="000A1875">
            <w:pPr>
              <w:pStyle w:val="a6"/>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A20538">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565"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932" w:type="dxa"/>
            <w:gridSpan w:val="3"/>
            <w:tcBorders>
              <w:top w:val="single" w:sz="4" w:space="0" w:color="auto"/>
              <w:left w:val="nil"/>
              <w:bottom w:val="nil"/>
              <w:right w:val="single" w:sz="4" w:space="0" w:color="auto"/>
            </w:tcBorders>
            <w:vAlign w:val="center"/>
          </w:tcPr>
          <w:p w:rsidR="007618B0" w:rsidRPr="00A20538" w:rsidRDefault="007618B0" w:rsidP="000A1875">
            <w:pPr>
              <w:pStyle w:val="a6"/>
              <w:rPr>
                <w:b/>
                <w:lang w:val="uk-UA"/>
              </w:rPr>
            </w:pPr>
            <w:r w:rsidRPr="00A20538">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A20538">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565"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932"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A20538">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565" w:type="dxa"/>
            <w:tcBorders>
              <w:top w:val="nil"/>
              <w:left w:val="nil"/>
              <w:bottom w:val="nil"/>
              <w:right w:val="nil"/>
            </w:tcBorders>
            <w:vAlign w:val="center"/>
          </w:tcPr>
          <w:p w:rsidR="007618B0" w:rsidRPr="005806AE" w:rsidRDefault="007618B0" w:rsidP="000A1875">
            <w:pPr>
              <w:pStyle w:val="a6"/>
              <w:rPr>
                <w:highlight w:val="yellow"/>
              </w:rPr>
            </w:pPr>
          </w:p>
        </w:tc>
        <w:tc>
          <w:tcPr>
            <w:tcW w:w="2932"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p w:rsidR="00166CD0" w:rsidRPr="005806AE" w:rsidRDefault="00166CD0" w:rsidP="00DE5834">
      <w:pPr>
        <w:tabs>
          <w:tab w:val="left" w:pos="284"/>
        </w:tabs>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Посточання</w:t>
      </w:r>
      <w:proofErr w:type="spellEnd"/>
      <w:r>
        <w:rPr>
          <w:rFonts w:ascii="Times New Roman" w:hAnsi="Times New Roman" w:cs="Times New Roman"/>
          <w:b/>
          <w:bCs/>
          <w:sz w:val="24"/>
          <w:szCs w:val="24"/>
          <w:u w:val="single"/>
        </w:rPr>
        <w:t xml:space="preserve"> товару здійснюється однією партією</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A20538"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w:t>
            </w:r>
            <w:r w:rsidR="00E90160" w:rsidRPr="00E90160">
              <w:rPr>
                <w:rFonts w:ascii="Times New Roman" w:hAnsi="Times New Roman" w:cs="Times New Roman"/>
                <w:sz w:val="24"/>
                <w:szCs w:val="24"/>
                <w:lang w:val="ru-RU"/>
              </w:rPr>
              <w:t xml:space="preserve"> </w:t>
            </w:r>
            <w:r w:rsidR="00E90160">
              <w:rPr>
                <w:rFonts w:ascii="Times New Roman" w:hAnsi="Times New Roman" w:cs="Times New Roman"/>
                <w:sz w:val="24"/>
                <w:szCs w:val="24"/>
              </w:rPr>
              <w:t>«Державний ощадбанк</w:t>
            </w:r>
            <w:r w:rsidRPr="005806AE">
              <w:rPr>
                <w:rFonts w:ascii="Times New Roman" w:hAnsi="Times New Roman" w:cs="Times New Roman"/>
                <w:sz w:val="24"/>
                <w:szCs w:val="24"/>
              </w:rPr>
              <w:t>», МФО</w:t>
            </w:r>
            <w:r w:rsidR="00E90160">
              <w:rPr>
                <w:rFonts w:ascii="Times New Roman" w:hAnsi="Times New Roman" w:cs="Times New Roman"/>
                <w:sz w:val="24"/>
                <w:szCs w:val="24"/>
              </w:rPr>
              <w:t xml:space="preserve">  </w:t>
            </w:r>
            <w:r w:rsidR="00A20538">
              <w:rPr>
                <w:rFonts w:ascii="Times New Roman" w:hAnsi="Times New Roman" w:cs="Times New Roman"/>
                <w:sz w:val="24"/>
                <w:szCs w:val="24"/>
              </w:rPr>
              <w:t>335106</w:t>
            </w:r>
            <w:r w:rsidRPr="005806AE">
              <w:rPr>
                <w:rFonts w:ascii="Times New Roman" w:hAnsi="Times New Roman" w:cs="Times New Roman"/>
                <w:sz w:val="24"/>
                <w:szCs w:val="24"/>
              </w:rPr>
              <w:t>,</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66CD0"/>
    <w:rsid w:val="00176102"/>
    <w:rsid w:val="001A3C33"/>
    <w:rsid w:val="001D1408"/>
    <w:rsid w:val="001E5D1E"/>
    <w:rsid w:val="00202AD6"/>
    <w:rsid w:val="0023127A"/>
    <w:rsid w:val="0025575E"/>
    <w:rsid w:val="002B14E2"/>
    <w:rsid w:val="002C4E70"/>
    <w:rsid w:val="00335FAA"/>
    <w:rsid w:val="00377513"/>
    <w:rsid w:val="003B3A32"/>
    <w:rsid w:val="00447F94"/>
    <w:rsid w:val="00466194"/>
    <w:rsid w:val="004C1E08"/>
    <w:rsid w:val="00532E1C"/>
    <w:rsid w:val="00565123"/>
    <w:rsid w:val="00611FA4"/>
    <w:rsid w:val="006742E7"/>
    <w:rsid w:val="006A4BA3"/>
    <w:rsid w:val="0070144D"/>
    <w:rsid w:val="00733421"/>
    <w:rsid w:val="007414EC"/>
    <w:rsid w:val="007618B0"/>
    <w:rsid w:val="00834673"/>
    <w:rsid w:val="00855EBC"/>
    <w:rsid w:val="00897A24"/>
    <w:rsid w:val="008A5B94"/>
    <w:rsid w:val="008D58E2"/>
    <w:rsid w:val="00931A87"/>
    <w:rsid w:val="009906AC"/>
    <w:rsid w:val="00A20538"/>
    <w:rsid w:val="00A248CE"/>
    <w:rsid w:val="00AD7EAE"/>
    <w:rsid w:val="00B45C60"/>
    <w:rsid w:val="00BD7BAB"/>
    <w:rsid w:val="00C64ACE"/>
    <w:rsid w:val="00C722CB"/>
    <w:rsid w:val="00CA0C25"/>
    <w:rsid w:val="00CB24DB"/>
    <w:rsid w:val="00CC2B34"/>
    <w:rsid w:val="00D41B51"/>
    <w:rsid w:val="00D92CF9"/>
    <w:rsid w:val="00DC0018"/>
    <w:rsid w:val="00DE5834"/>
    <w:rsid w:val="00E53234"/>
    <w:rsid w:val="00E90160"/>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60</cp:revision>
  <dcterms:created xsi:type="dcterms:W3CDTF">2023-07-20T12:04:00Z</dcterms:created>
  <dcterms:modified xsi:type="dcterms:W3CDTF">2024-04-29T10:03:00Z</dcterms:modified>
</cp:coreProperties>
</file>