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A40DFB">
        <w:rPr>
          <w:rFonts w:eastAsia="Calibri"/>
          <w:b/>
          <w:lang w:val="uk-UA" w:eastAsia="en-US"/>
        </w:rPr>
        <w:t>пл.Ринок</w:t>
      </w:r>
      <w:proofErr w:type="spellEnd"/>
      <w:r w:rsidR="00A40DFB" w:rsidRPr="00A40DFB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F27A87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36F86513" w14:textId="77777777" w:rsidR="00F27A87" w:rsidRDefault="00127362" w:rsidP="00F27A87">
      <w:pPr>
        <w:pStyle w:val="HTML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43D" w:rsidRPr="00177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AD743D" w:rsidRPr="00177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DF5BB4">
        <w:rPr>
          <w:rFonts w:ascii="Times New Roman" w:hAnsi="Times New Roman" w:cs="Times New Roman"/>
          <w:b/>
          <w:sz w:val="24"/>
          <w:szCs w:val="24"/>
          <w:lang w:val="uk-UA" w:eastAsia="uk-UA"/>
        </w:rPr>
        <w:t>Б</w:t>
      </w:r>
      <w:proofErr w:type="spellStart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>езпілотний</w:t>
      </w:r>
      <w:proofErr w:type="spellEnd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>літальний</w:t>
      </w:r>
      <w:proofErr w:type="spellEnd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>апарат</w:t>
      </w:r>
      <w:proofErr w:type="spellEnd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"МАРА-2П"  у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комплекті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з модулем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цільового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спорядження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з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аерофотокамерою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та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оглядовою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відеокамерою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та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акумуляторною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 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батареєю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 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БпЛА</w:t>
      </w:r>
      <w:proofErr w:type="spellEnd"/>
      <w:r w:rsidR="00DF5BB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або еквівалент</w:t>
      </w:r>
      <w:r w:rsidR="00F27A87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ДК 021:2015: 34710000-7 —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Вертольоти</w:t>
      </w:r>
      <w:proofErr w:type="spellEnd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літаки</w:t>
      </w:r>
      <w:proofErr w:type="spellEnd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космічні</w:t>
      </w:r>
      <w:proofErr w:type="spellEnd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нші</w:t>
      </w:r>
      <w:proofErr w:type="spellEnd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літальні</w:t>
      </w:r>
      <w:proofErr w:type="spellEnd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апарати</w:t>
      </w:r>
      <w:proofErr w:type="spellEnd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двигуном</w:t>
      </w:r>
      <w:proofErr w:type="spellEnd"/>
    </w:p>
    <w:p w14:paraId="1DF2B6B1" w14:textId="724A5D98" w:rsidR="00DF5BB4" w:rsidRPr="00023EAC" w:rsidRDefault="00DF5BB4" w:rsidP="00DF5BB4">
      <w:pPr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14:paraId="78648657" w14:textId="4E233EDC" w:rsidR="00E509AA" w:rsidRPr="00E509AA" w:rsidRDefault="00AD743D" w:rsidP="00F27A87">
      <w:pPr>
        <w:pStyle w:val="HTML"/>
        <w:jc w:val="both"/>
        <w:rPr>
          <w:color w:val="000000"/>
          <w:lang w:val="uk-UA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AD74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5BB4">
        <w:rPr>
          <w:rFonts w:ascii="Times New Roman" w:hAnsi="Times New Roman" w:cs="Times New Roman"/>
          <w:b/>
          <w:sz w:val="24"/>
          <w:szCs w:val="24"/>
          <w:lang w:val="uk-UA" w:eastAsia="uk-UA"/>
        </w:rPr>
        <w:t>Б</w:t>
      </w:r>
      <w:proofErr w:type="spellStart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>езпілотний</w:t>
      </w:r>
      <w:proofErr w:type="spellEnd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>літальний</w:t>
      </w:r>
      <w:proofErr w:type="spellEnd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>апарат</w:t>
      </w:r>
      <w:proofErr w:type="spellEnd"/>
      <w:r w:rsidR="00DF5BB4" w:rsidRPr="00B7498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"МАРА-2П"  у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комплекті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з модулем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цільового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спорядження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з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аерофотокамерою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та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оглядовою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відеокамерою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та 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акумуляторною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 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батареєю</w:t>
      </w:r>
      <w:proofErr w:type="spellEnd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 </w:t>
      </w:r>
      <w:proofErr w:type="spellStart"/>
      <w:r w:rsidR="00DF5BB4" w:rsidRPr="006C0F68">
        <w:rPr>
          <w:rFonts w:ascii="Times New Roman" w:hAnsi="Times New Roman" w:cs="Times New Roman"/>
          <w:b/>
          <w:sz w:val="24"/>
          <w:szCs w:val="24"/>
          <w:lang w:eastAsia="uk-UA"/>
        </w:rPr>
        <w:t>БпЛА</w:t>
      </w:r>
      <w:proofErr w:type="spellEnd"/>
      <w:r w:rsidR="00DF5BB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або еквівалент</w:t>
      </w:r>
      <w:r w:rsidR="00F27A87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ДК 021:2015: 34710000-7 —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Вертольоти</w:t>
      </w:r>
      <w:proofErr w:type="spellEnd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літаки</w:t>
      </w:r>
      <w:proofErr w:type="spellEnd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космічні</w:t>
      </w:r>
      <w:proofErr w:type="spellEnd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F27A87" w:rsidRPr="007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нші</w:t>
      </w:r>
      <w:proofErr w:type="spellEnd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літальні</w:t>
      </w:r>
      <w:proofErr w:type="spellEnd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апарати</w:t>
      </w:r>
      <w:proofErr w:type="spellEnd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F2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двигуном</w:t>
      </w:r>
      <w:proofErr w:type="spellEnd"/>
      <w:r w:rsidR="00F27A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DF5BB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509AA">
        <w:rPr>
          <w:lang w:val="uk-UA"/>
        </w:rPr>
        <w:t xml:space="preserve">– </w:t>
      </w:r>
      <w:r w:rsidR="00456B3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F5BB4">
        <w:rPr>
          <w:rFonts w:ascii="Times New Roman" w:hAnsi="Times New Roman" w:cs="Times New Roman"/>
          <w:sz w:val="24"/>
          <w:szCs w:val="24"/>
          <w:lang w:val="uk-UA"/>
        </w:rPr>
        <w:t xml:space="preserve">десять 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>) штук</w:t>
      </w:r>
      <w:r w:rsidR="00177932" w:rsidRPr="00987C01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14:paraId="6EFF3353" w14:textId="7A158D78" w:rsidR="00127362" w:rsidRPr="00CD4F3B" w:rsidRDefault="00127362" w:rsidP="00E509A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</w:t>
      </w:r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CD4F3B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1F7917DD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CD4F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56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4 788 266,60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177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ПДВ</w:t>
      </w:r>
    </w:p>
    <w:p w14:paraId="6948DF69" w14:textId="14A10D69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56B3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56B3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березня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24527EE8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</w:t>
      </w:r>
      <w:r w:rsidR="00456B3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8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56B3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лютого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Поставка товару відбувається партіями, за попередніми Заявками Замовника. 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здійснена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після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поставки товару.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Підтвердженням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поставки товару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може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бути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підписана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видаткова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35D7B81D" w:rsidR="00127362" w:rsidRPr="002B6F5F" w:rsidRDefault="00127362" w:rsidP="00177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0DFBB0FD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0078C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0078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електронну</w:t>
      </w:r>
      <w:proofErr w:type="spellEnd"/>
      <w:proofErr w:type="gram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Prozorro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2647CF91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5A636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23 942</w:t>
      </w:r>
      <w:r w:rsidR="00177932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="00E0689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грн</w:t>
      </w:r>
    </w:p>
    <w:p w14:paraId="4DBB50D7" w14:textId="05F57493" w:rsidR="00A15DCD" w:rsidRPr="00A15DCD" w:rsidRDefault="00A15DC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Підстава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спротиву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2022-2024роки,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ухвалою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17.02.2022 №1981, 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правовий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воєнного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основи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супротиву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публічні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беручи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уваги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Постанову КМУ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11.11.2022 №1275 та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12.10.2022 №1178,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комітету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для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передачі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військов</w:t>
      </w:r>
      <w:r w:rsidR="005C49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частин</w:t>
      </w:r>
      <w:r w:rsidR="005C49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ЗСУ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078CE"/>
    <w:rsid w:val="000718CE"/>
    <w:rsid w:val="000A7F78"/>
    <w:rsid w:val="00105FEE"/>
    <w:rsid w:val="00127362"/>
    <w:rsid w:val="00177932"/>
    <w:rsid w:val="00193D55"/>
    <w:rsid w:val="001D262D"/>
    <w:rsid w:val="001D714E"/>
    <w:rsid w:val="002322E7"/>
    <w:rsid w:val="00252453"/>
    <w:rsid w:val="0029058E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56B3B"/>
    <w:rsid w:val="004B3244"/>
    <w:rsid w:val="004D743E"/>
    <w:rsid w:val="005026F6"/>
    <w:rsid w:val="00503E4F"/>
    <w:rsid w:val="005159F4"/>
    <w:rsid w:val="00527661"/>
    <w:rsid w:val="00577A44"/>
    <w:rsid w:val="005A0410"/>
    <w:rsid w:val="005A4CE5"/>
    <w:rsid w:val="005A6368"/>
    <w:rsid w:val="005C49CF"/>
    <w:rsid w:val="005E748C"/>
    <w:rsid w:val="00611C19"/>
    <w:rsid w:val="00663F24"/>
    <w:rsid w:val="006B7CC9"/>
    <w:rsid w:val="006E357A"/>
    <w:rsid w:val="006F14BF"/>
    <w:rsid w:val="00722797"/>
    <w:rsid w:val="00730725"/>
    <w:rsid w:val="00760633"/>
    <w:rsid w:val="00777CDC"/>
    <w:rsid w:val="007B6EB4"/>
    <w:rsid w:val="00820821"/>
    <w:rsid w:val="00854392"/>
    <w:rsid w:val="00860A20"/>
    <w:rsid w:val="00861068"/>
    <w:rsid w:val="008668F6"/>
    <w:rsid w:val="008669F1"/>
    <w:rsid w:val="0087688D"/>
    <w:rsid w:val="009018F9"/>
    <w:rsid w:val="00904A46"/>
    <w:rsid w:val="00905DC6"/>
    <w:rsid w:val="00987C01"/>
    <w:rsid w:val="009A526B"/>
    <w:rsid w:val="009C1779"/>
    <w:rsid w:val="009C76A7"/>
    <w:rsid w:val="009E3A33"/>
    <w:rsid w:val="009F6DD2"/>
    <w:rsid w:val="00A15DCD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10F7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CD4F3B"/>
    <w:rsid w:val="00D3200C"/>
    <w:rsid w:val="00D62588"/>
    <w:rsid w:val="00D74F5F"/>
    <w:rsid w:val="00D83532"/>
    <w:rsid w:val="00DB59B4"/>
    <w:rsid w:val="00DC241B"/>
    <w:rsid w:val="00DF5BB4"/>
    <w:rsid w:val="00E0689D"/>
    <w:rsid w:val="00E509AA"/>
    <w:rsid w:val="00E52FC2"/>
    <w:rsid w:val="00E84C4A"/>
    <w:rsid w:val="00E850C4"/>
    <w:rsid w:val="00EA1416"/>
    <w:rsid w:val="00EA323D"/>
    <w:rsid w:val="00EB02DB"/>
    <w:rsid w:val="00EE25C4"/>
    <w:rsid w:val="00EE3741"/>
    <w:rsid w:val="00F27A87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rsid w:val="00456B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456B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79</cp:revision>
  <cp:lastPrinted>2022-02-21T08:41:00Z</cp:lastPrinted>
  <dcterms:created xsi:type="dcterms:W3CDTF">2019-11-19T09:07:00Z</dcterms:created>
  <dcterms:modified xsi:type="dcterms:W3CDTF">2024-02-09T13:43:00Z</dcterms:modified>
</cp:coreProperties>
</file>