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58CA1C44" w14:textId="199CFF63" w:rsidR="00124243" w:rsidRPr="00E0262E" w:rsidRDefault="00124243" w:rsidP="00124243">
      <w:pPr>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Pr="00E0262E">
        <w:rPr>
          <w:b/>
          <w:bCs/>
          <w:spacing w:val="-1"/>
          <w:sz w:val="22"/>
          <w:szCs w:val="22"/>
        </w:rPr>
        <w:t xml:space="preserve"> </w:t>
      </w: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FC5E1E">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w:t>
      </w:r>
      <w:r w:rsidRPr="00997CEA">
        <w:rPr>
          <w:sz w:val="22"/>
          <w:szCs w:val="22"/>
        </w:rPr>
        <w:lastRenderedPageBreak/>
        <w:t>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77777777"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м 3</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77777777" w:rsidR="002D7D47" w:rsidRPr="00997CEA" w:rsidRDefault="002D7D47" w:rsidP="002D7D47">
      <w:pPr>
        <w:numPr>
          <w:ilvl w:val="1"/>
          <w:numId w:val="7"/>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28F870D3" w:rsidR="00124243" w:rsidRPr="00781CC8" w:rsidRDefault="00124243" w:rsidP="0002511E">
      <w:pPr>
        <w:numPr>
          <w:ilvl w:val="1"/>
          <w:numId w:val="4"/>
        </w:numPr>
        <w:spacing w:before="0" w:after="0"/>
        <w:ind w:left="0" w:hanging="426"/>
        <w:rPr>
          <w:sz w:val="22"/>
          <w:szCs w:val="22"/>
        </w:rPr>
      </w:pPr>
      <w:r w:rsidRPr="00781CC8">
        <w:rPr>
          <w:sz w:val="22"/>
          <w:szCs w:val="22"/>
        </w:rPr>
        <w:t xml:space="preserve">Розрахунки за поставлену Постачальником Продукцію за цим Договором здійснюються Покупцем шляхом </w:t>
      </w:r>
      <w:r w:rsidRPr="00F136FA">
        <w:rPr>
          <w:sz w:val="22"/>
          <w:szCs w:val="22"/>
        </w:rPr>
        <w:t xml:space="preserve">безготівкового перерахування коштів на поточний рахунок Постачальника з відстроченням платежу </w:t>
      </w:r>
      <w:r w:rsidR="00B11DFA">
        <w:t xml:space="preserve">протягом </w:t>
      </w:r>
      <w:r w:rsidR="00E0262E">
        <w:t>5 (п</w:t>
      </w:r>
      <w:r w:rsidR="00E0262E" w:rsidRPr="00E0262E">
        <w:rPr>
          <w:lang w:val="ru-RU"/>
        </w:rPr>
        <w:t>’</w:t>
      </w:r>
      <w:r w:rsidR="00E0262E">
        <w:t>яти)</w:t>
      </w:r>
      <w:r w:rsidR="00781CC8" w:rsidRPr="00F136FA">
        <w:t xml:space="preserve"> календарних днів з дати поставки продукції на склад Покупця на підставі видаткової накладної</w:t>
      </w:r>
      <w:r w:rsidRPr="00F136FA">
        <w:rPr>
          <w:sz w:val="22"/>
          <w:szCs w:val="22"/>
        </w:rPr>
        <w:t>, а також</w:t>
      </w:r>
      <w:r w:rsidRPr="00781CC8">
        <w:rPr>
          <w:sz w:val="22"/>
          <w:szCs w:val="22"/>
        </w:rPr>
        <w:t xml:space="preserve"> документів, передбачених розділом 4 цього Договору та відповідною Специфікацією до Договору. Датою оплати вважається дата списання грошових коштів з поточного рахунку Покупця.</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w:t>
      </w:r>
      <w:r w:rsidRPr="00997CEA">
        <w:rPr>
          <w:sz w:val="22"/>
          <w:szCs w:val="22"/>
        </w:rPr>
        <w:lastRenderedPageBreak/>
        <w:t>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lastRenderedPageBreak/>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lastRenderedPageBreak/>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lastRenderedPageBreak/>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9919B9" w14:textId="77777777" w:rsidR="00E20D67" w:rsidRPr="00D14C98" w:rsidRDefault="00E20D67" w:rsidP="00E20D67">
      <w:pPr>
        <w:rPr>
          <w:sz w:val="22"/>
          <w:szCs w:val="22"/>
        </w:rPr>
      </w:pPr>
      <w:bookmarkStart w:id="1" w:name="_Hlk37331856"/>
      <w:bookmarkEnd w:id="0"/>
      <w:r>
        <w:rPr>
          <w:sz w:val="22"/>
          <w:szCs w:val="22"/>
        </w:rPr>
        <w:t>8.4.1</w:t>
      </w:r>
      <w:r w:rsidRPr="00F136FA">
        <w:rPr>
          <w:sz w:val="22"/>
          <w:szCs w:val="22"/>
        </w:rPr>
        <w:t>.</w:t>
      </w:r>
      <w:bookmarkEnd w:id="1"/>
      <w:r>
        <w:rPr>
          <w:sz w:val="22"/>
          <w:szCs w:val="22"/>
        </w:rPr>
        <w:t xml:space="preserve"> </w:t>
      </w:r>
      <w:r w:rsidRPr="00D14C98">
        <w:rPr>
          <w:sz w:val="22"/>
          <w:szCs w:val="22"/>
        </w:rPr>
        <w:t>зменшення обсягів закупівлі, зокрема з урахуванням фактичного обсягу видатків замовника;</w:t>
      </w:r>
    </w:p>
    <w:p w14:paraId="2D7C8F79" w14:textId="77777777" w:rsidR="00E20D67" w:rsidRPr="00D14C98" w:rsidRDefault="00E20D67" w:rsidP="00E20D67">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98D074" w14:textId="77777777" w:rsidR="00E20D67" w:rsidRPr="00D14C98" w:rsidRDefault="00E20D67" w:rsidP="00E20D67">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781AE28" w14:textId="1BF7F605" w:rsidR="00E20D67" w:rsidRPr="00D14C98" w:rsidRDefault="00E20D67" w:rsidP="00E20D67">
      <w:pPr>
        <w:rPr>
          <w:sz w:val="22"/>
          <w:szCs w:val="22"/>
        </w:rPr>
      </w:pPr>
      <w:r>
        <w:rPr>
          <w:sz w:val="22"/>
          <w:szCs w:val="22"/>
        </w:rPr>
        <w:t xml:space="preserve">8.4.4. </w:t>
      </w:r>
      <w:r w:rsidRPr="00D14C98">
        <w:rPr>
          <w:sz w:val="22"/>
          <w:szCs w:val="22"/>
        </w:rPr>
        <w:t>продовження строку дії договору про закупівлю та</w:t>
      </w:r>
      <w:r w:rsidR="00A04B93">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032153" w14:textId="77777777" w:rsidR="00E20D67" w:rsidRPr="00D14C98" w:rsidRDefault="00E20D67" w:rsidP="00E20D67">
      <w:pPr>
        <w:rPr>
          <w:sz w:val="22"/>
          <w:szCs w:val="22"/>
        </w:rPr>
      </w:pPr>
      <w:r>
        <w:rPr>
          <w:sz w:val="22"/>
          <w:szCs w:val="22"/>
        </w:rPr>
        <w:t>8.4.5.</w:t>
      </w:r>
      <w:r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14226378" w14:textId="77777777" w:rsidR="00E20D67" w:rsidRPr="00D14C98" w:rsidRDefault="00E20D67" w:rsidP="00E20D67">
      <w:pPr>
        <w:rPr>
          <w:sz w:val="22"/>
          <w:szCs w:val="22"/>
        </w:rPr>
      </w:pPr>
      <w:r>
        <w:rPr>
          <w:sz w:val="22"/>
          <w:szCs w:val="22"/>
        </w:rPr>
        <w:t xml:space="preserve">8.4.6. </w:t>
      </w:r>
      <w:r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4E9EE1" w14:textId="77777777" w:rsidR="00E20D67" w:rsidRPr="00D14C98" w:rsidRDefault="00E20D67" w:rsidP="00E20D67">
      <w:pPr>
        <w:rPr>
          <w:sz w:val="22"/>
          <w:szCs w:val="22"/>
        </w:rPr>
      </w:pPr>
      <w:r>
        <w:rPr>
          <w:sz w:val="22"/>
          <w:szCs w:val="22"/>
        </w:rPr>
        <w:t xml:space="preserve">8.4.7. </w:t>
      </w:r>
      <w:r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C98">
        <w:rPr>
          <w:sz w:val="22"/>
          <w:szCs w:val="22"/>
        </w:rPr>
        <w:t>Platts</w:t>
      </w:r>
      <w:proofErr w:type="spellEnd"/>
      <w:r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31DEA1" w14:textId="77777777" w:rsidR="00E20D67" w:rsidRPr="00D14C98" w:rsidRDefault="00E20D67" w:rsidP="00E20D67">
      <w:pPr>
        <w:rPr>
          <w:sz w:val="22"/>
          <w:szCs w:val="22"/>
        </w:rPr>
      </w:pPr>
      <w:r>
        <w:rPr>
          <w:sz w:val="22"/>
          <w:szCs w:val="22"/>
        </w:rPr>
        <w:t xml:space="preserve">8.4.8. </w:t>
      </w:r>
      <w:r w:rsidRPr="00D14C98">
        <w:rPr>
          <w:sz w:val="22"/>
          <w:szCs w:val="22"/>
        </w:rPr>
        <w:t>зміни умов у зв’язку із застосуванням положень частини шостої статті 41 Закону.</w:t>
      </w:r>
    </w:p>
    <w:p w14:paraId="41368581" w14:textId="77777777" w:rsidR="00E20D67" w:rsidRPr="00F136FA" w:rsidRDefault="00E20D67" w:rsidP="00E20D67">
      <w:pPr>
        <w:spacing w:after="120"/>
        <w:ind w:firstLine="0"/>
      </w:pPr>
      <w:r w:rsidRPr="00F136FA">
        <w:rPr>
          <w:sz w:val="22"/>
          <w:szCs w:val="22"/>
        </w:rPr>
        <w:t xml:space="preserve">  </w:t>
      </w:r>
      <w:r>
        <w:rPr>
          <w:sz w:val="22"/>
          <w:szCs w:val="22"/>
        </w:rPr>
        <w:t xml:space="preserve">8.5. </w:t>
      </w:r>
      <w:r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E20D67">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 xml:space="preserve">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w:t>
      </w:r>
      <w:r w:rsidRPr="00997CEA">
        <w:rPr>
          <w:sz w:val="22"/>
          <w:szCs w:val="22"/>
        </w:rPr>
        <w:lastRenderedPageBreak/>
        <w:t>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84A057F" w14:textId="77777777" w:rsidR="00E20D67" w:rsidRPr="0008511A" w:rsidRDefault="00E20D67" w:rsidP="00E20D67">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2AC1B693" w14:textId="77777777" w:rsidR="00E20D67" w:rsidRPr="0008511A" w:rsidRDefault="00E20D67" w:rsidP="00E20D67">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lastRenderedPageBreak/>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44893A8" w14:textId="77777777" w:rsidR="007F3EC5" w:rsidRDefault="007F3EC5" w:rsidP="00124243">
      <w:pPr>
        <w:jc w:val="center"/>
        <w:rPr>
          <w:b/>
          <w:sz w:val="22"/>
          <w:szCs w:val="22"/>
        </w:rPr>
      </w:pPr>
    </w:p>
    <w:p w14:paraId="0B9AE5A8" w14:textId="77777777" w:rsidR="00B128A4" w:rsidRPr="00B128A4" w:rsidRDefault="00B128A4" w:rsidP="00B128A4">
      <w:pPr>
        <w:spacing w:after="60"/>
        <w:jc w:val="right"/>
        <w:rPr>
          <w:b/>
          <w:bCs/>
          <w:sz w:val="22"/>
          <w:szCs w:val="22"/>
        </w:rPr>
      </w:pPr>
      <w:r w:rsidRPr="00B128A4">
        <w:rPr>
          <w:sz w:val="22"/>
          <w:szCs w:val="22"/>
        </w:rPr>
        <w:t xml:space="preserve">                                        </w:t>
      </w: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t>до договору № _________  від   __________</w:t>
      </w:r>
    </w:p>
    <w:p w14:paraId="6F03D21B" w14:textId="77777777" w:rsidR="00B128A4" w:rsidRDefault="00B128A4" w:rsidP="00B128A4">
      <w:pPr>
        <w:jc w:val="right"/>
        <w:rPr>
          <w:sz w:val="22"/>
          <w:szCs w:val="22"/>
        </w:rPr>
      </w:pPr>
    </w:p>
    <w:p w14:paraId="00A03CD7" w14:textId="77777777" w:rsidR="00B128A4" w:rsidRDefault="00B128A4" w:rsidP="00B128A4">
      <w:pPr>
        <w:jc w:val="right"/>
        <w:rPr>
          <w:sz w:val="22"/>
          <w:szCs w:val="22"/>
        </w:rPr>
      </w:pPr>
    </w:p>
    <w:p w14:paraId="1E4AAE4B" w14:textId="77777777" w:rsidR="00B128A4" w:rsidRDefault="00B128A4" w:rsidP="00B128A4">
      <w:pPr>
        <w:jc w:val="right"/>
        <w:rPr>
          <w:b/>
          <w:sz w:val="22"/>
          <w:szCs w:val="22"/>
        </w:rPr>
      </w:pP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00B3C0E5" w14:textId="77777777" w:rsidR="00A04B93" w:rsidRPr="00E0262E" w:rsidRDefault="00124243" w:rsidP="00A04B93">
      <w:pPr>
        <w:jc w:val="center"/>
        <w:rPr>
          <w:b/>
          <w:bCs/>
          <w:spacing w:val="-1"/>
          <w:sz w:val="22"/>
          <w:szCs w:val="22"/>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процедури закупівлі</w:t>
      </w:r>
      <w:r w:rsidR="00A04B93" w:rsidRPr="00E0262E">
        <w:rPr>
          <w:b/>
          <w:bCs/>
          <w:spacing w:val="-1"/>
          <w:sz w:val="22"/>
          <w:szCs w:val="22"/>
        </w:rPr>
        <w:t xml:space="preserve"> </w:t>
      </w:r>
    </w:p>
    <w:p w14:paraId="342AC135" w14:textId="12A5E0F5" w:rsidR="00124243" w:rsidRPr="00BF1820" w:rsidRDefault="00124243" w:rsidP="00A04B93">
      <w:pPr>
        <w:pStyle w:val="a6"/>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A22961" w:rsidRPr="00BF1820" w14:paraId="13F61B39" w14:textId="77777777" w:rsidTr="00223F27">
        <w:trPr>
          <w:trHeight w:val="351"/>
          <w:jc w:val="center"/>
        </w:trPr>
        <w:tc>
          <w:tcPr>
            <w:tcW w:w="539" w:type="dxa"/>
            <w:vAlign w:val="center"/>
          </w:tcPr>
          <w:p w14:paraId="79637D4A" w14:textId="08E02DCC" w:rsidR="00A22961" w:rsidRPr="00BF1820" w:rsidRDefault="00A22961" w:rsidP="00A22961">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A22961" w:rsidRPr="00A22961" w:rsidRDefault="00A22961" w:rsidP="00A22961">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A22961" w:rsidRPr="00A22961" w:rsidRDefault="00A22961" w:rsidP="00A22961">
            <w:pPr>
              <w:spacing w:line="360" w:lineRule="auto"/>
              <w:ind w:firstLine="374"/>
              <w:jc w:val="left"/>
              <w:rPr>
                <w:sz w:val="22"/>
                <w:szCs w:val="22"/>
              </w:rPr>
            </w:pPr>
            <w:r w:rsidRPr="00A22961">
              <w:rPr>
                <w:sz w:val="22"/>
                <w:szCs w:val="22"/>
              </w:rPr>
              <w:t>кг</w:t>
            </w:r>
          </w:p>
        </w:tc>
        <w:tc>
          <w:tcPr>
            <w:tcW w:w="1059" w:type="dxa"/>
            <w:vAlign w:val="center"/>
          </w:tcPr>
          <w:p w14:paraId="0FF8A022" w14:textId="2903FF17" w:rsidR="00A22961" w:rsidRPr="00A22961" w:rsidRDefault="00FB4661" w:rsidP="00A22961">
            <w:pPr>
              <w:spacing w:line="360" w:lineRule="auto"/>
              <w:ind w:firstLine="235"/>
              <w:jc w:val="center"/>
              <w:rPr>
                <w:sz w:val="22"/>
                <w:szCs w:val="22"/>
              </w:rPr>
            </w:pPr>
            <w:r>
              <w:rPr>
                <w:sz w:val="22"/>
                <w:szCs w:val="22"/>
              </w:rPr>
              <w:t>2</w:t>
            </w:r>
            <w:r w:rsidR="0002511E">
              <w:rPr>
                <w:sz w:val="22"/>
                <w:szCs w:val="22"/>
              </w:rPr>
              <w:t>0 000</w:t>
            </w:r>
          </w:p>
        </w:tc>
        <w:tc>
          <w:tcPr>
            <w:tcW w:w="1276" w:type="dxa"/>
            <w:vAlign w:val="center"/>
          </w:tcPr>
          <w:p w14:paraId="375601A1" w14:textId="0C27DFF7" w:rsidR="00A22961" w:rsidRPr="00A22961" w:rsidRDefault="00A22961" w:rsidP="00A22961">
            <w:pPr>
              <w:spacing w:line="360" w:lineRule="auto"/>
              <w:ind w:firstLine="235"/>
              <w:rPr>
                <w:sz w:val="22"/>
                <w:szCs w:val="22"/>
              </w:rPr>
            </w:pPr>
          </w:p>
        </w:tc>
        <w:tc>
          <w:tcPr>
            <w:tcW w:w="1279" w:type="dxa"/>
            <w:vAlign w:val="center"/>
          </w:tcPr>
          <w:p w14:paraId="5023F365" w14:textId="33A64167" w:rsidR="00A22961" w:rsidRPr="00A22961" w:rsidRDefault="00A22961" w:rsidP="00A02F69">
            <w:pPr>
              <w:spacing w:line="360" w:lineRule="auto"/>
              <w:ind w:firstLine="235"/>
              <w:rPr>
                <w:sz w:val="22"/>
                <w:szCs w:val="22"/>
              </w:rPr>
            </w:pPr>
          </w:p>
        </w:tc>
        <w:tc>
          <w:tcPr>
            <w:tcW w:w="1730" w:type="dxa"/>
            <w:vAlign w:val="center"/>
          </w:tcPr>
          <w:p w14:paraId="0E3D48A1" w14:textId="7AB60337" w:rsidR="00A22961" w:rsidRPr="00A22961" w:rsidRDefault="00A22961" w:rsidP="00A22961">
            <w:pPr>
              <w:spacing w:line="360" w:lineRule="auto"/>
              <w:ind w:firstLine="0"/>
              <w:jc w:val="center"/>
              <w:rPr>
                <w:sz w:val="22"/>
                <w:szCs w:val="22"/>
              </w:rPr>
            </w:pPr>
          </w:p>
        </w:tc>
      </w:tr>
      <w:tr w:rsidR="00A22961" w:rsidRPr="00BF1820" w14:paraId="4E612547" w14:textId="77777777" w:rsidTr="00223F27">
        <w:trPr>
          <w:trHeight w:val="343"/>
          <w:jc w:val="center"/>
        </w:trPr>
        <w:tc>
          <w:tcPr>
            <w:tcW w:w="539" w:type="dxa"/>
            <w:vAlign w:val="center"/>
          </w:tcPr>
          <w:p w14:paraId="57C50413" w14:textId="1B499273" w:rsidR="00A22961" w:rsidRPr="00BF1820" w:rsidRDefault="00A22961" w:rsidP="00A22961">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A22961" w:rsidRPr="00A22961" w:rsidRDefault="00A22961" w:rsidP="00A22961">
            <w:pPr>
              <w:ind w:firstLine="0"/>
              <w:jc w:val="left"/>
              <w:rPr>
                <w:sz w:val="22"/>
                <w:szCs w:val="22"/>
                <w:lang w:val="ru-RU"/>
              </w:rPr>
            </w:pPr>
            <w:r w:rsidRPr="00A22961">
              <w:rPr>
                <w:sz w:val="22"/>
                <w:szCs w:val="22"/>
                <w:lang w:val="ru-RU"/>
              </w:rPr>
              <w:t>Д</w:t>
            </w:r>
            <w:proofErr w:type="spellStart"/>
            <w:r w:rsidRPr="00A22961">
              <w:rPr>
                <w:sz w:val="22"/>
                <w:szCs w:val="22"/>
              </w:rPr>
              <w:t>изельне</w:t>
            </w:r>
            <w:proofErr w:type="spellEnd"/>
            <w:r w:rsidRPr="00A22961">
              <w:rPr>
                <w:sz w:val="22"/>
                <w:szCs w:val="22"/>
              </w:rPr>
              <w:t xml:space="preserve"> паливо</w:t>
            </w:r>
          </w:p>
        </w:tc>
        <w:tc>
          <w:tcPr>
            <w:tcW w:w="992" w:type="dxa"/>
            <w:vAlign w:val="center"/>
          </w:tcPr>
          <w:p w14:paraId="1EEFD886" w14:textId="4B4469D1" w:rsidR="00A22961" w:rsidRPr="00A22961" w:rsidRDefault="00A22961" w:rsidP="00A22961">
            <w:pPr>
              <w:spacing w:line="360" w:lineRule="auto"/>
              <w:ind w:firstLine="374"/>
              <w:jc w:val="left"/>
              <w:rPr>
                <w:sz w:val="22"/>
                <w:szCs w:val="22"/>
                <w:lang w:val="ru-RU"/>
              </w:rPr>
            </w:pPr>
            <w:r w:rsidRPr="00A22961">
              <w:rPr>
                <w:bCs/>
                <w:sz w:val="22"/>
                <w:szCs w:val="22"/>
                <w:lang w:val="ru-RU"/>
              </w:rPr>
              <w:t>кг</w:t>
            </w:r>
          </w:p>
        </w:tc>
        <w:tc>
          <w:tcPr>
            <w:tcW w:w="1059" w:type="dxa"/>
            <w:vAlign w:val="center"/>
          </w:tcPr>
          <w:p w14:paraId="7252446C" w14:textId="4324290B" w:rsidR="00A22961" w:rsidRPr="00A22961" w:rsidRDefault="00FB4661" w:rsidP="00A22961">
            <w:pPr>
              <w:spacing w:line="360" w:lineRule="auto"/>
              <w:ind w:firstLine="235"/>
              <w:jc w:val="center"/>
              <w:rPr>
                <w:color w:val="000000"/>
                <w:sz w:val="22"/>
                <w:szCs w:val="22"/>
                <w:lang w:val="ru-RU"/>
              </w:rPr>
            </w:pPr>
            <w:r>
              <w:rPr>
                <w:color w:val="000000"/>
                <w:sz w:val="22"/>
                <w:szCs w:val="22"/>
                <w:lang w:val="ru-RU"/>
              </w:rPr>
              <w:t>4</w:t>
            </w:r>
            <w:bookmarkStart w:id="2" w:name="_GoBack"/>
            <w:bookmarkEnd w:id="2"/>
            <w:r w:rsidR="0002511E">
              <w:rPr>
                <w:color w:val="000000"/>
                <w:sz w:val="22"/>
                <w:szCs w:val="22"/>
                <w:lang w:val="ru-RU"/>
              </w:rPr>
              <w:t>0 000</w:t>
            </w:r>
          </w:p>
        </w:tc>
        <w:tc>
          <w:tcPr>
            <w:tcW w:w="1276" w:type="dxa"/>
            <w:vAlign w:val="center"/>
          </w:tcPr>
          <w:p w14:paraId="20E0119E" w14:textId="07080D76" w:rsidR="00A22961" w:rsidRPr="00A22961" w:rsidRDefault="00A22961" w:rsidP="00A22961">
            <w:pPr>
              <w:ind w:firstLine="0"/>
              <w:jc w:val="center"/>
              <w:rPr>
                <w:sz w:val="22"/>
                <w:szCs w:val="22"/>
              </w:rPr>
            </w:pPr>
          </w:p>
        </w:tc>
        <w:tc>
          <w:tcPr>
            <w:tcW w:w="1279" w:type="dxa"/>
            <w:vAlign w:val="center"/>
          </w:tcPr>
          <w:p w14:paraId="5917E8D5" w14:textId="0A33F9EF" w:rsidR="00A22961" w:rsidRPr="00A22961" w:rsidRDefault="00A22961" w:rsidP="00A02F69">
            <w:pPr>
              <w:ind w:firstLine="0"/>
              <w:jc w:val="center"/>
              <w:rPr>
                <w:sz w:val="22"/>
                <w:szCs w:val="22"/>
              </w:rPr>
            </w:pPr>
          </w:p>
        </w:tc>
        <w:tc>
          <w:tcPr>
            <w:tcW w:w="1730" w:type="dxa"/>
            <w:vAlign w:val="center"/>
          </w:tcPr>
          <w:p w14:paraId="054C0820" w14:textId="3C4A51E1" w:rsidR="00A22961" w:rsidRPr="00A22961" w:rsidRDefault="00A22961" w:rsidP="00A22961">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0F8419E"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3</w:t>
      </w:r>
      <w:r w:rsidR="00E0262E" w:rsidRPr="00A02F69">
        <w:rPr>
          <w:sz w:val="22"/>
          <w:szCs w:val="22"/>
          <w:lang w:val="ru-RU"/>
        </w:rPr>
        <w:t xml:space="preserve"> (</w:t>
      </w:r>
      <w:proofErr w:type="spellStart"/>
      <w:r w:rsidR="00E0262E" w:rsidRPr="00A02F69">
        <w:rPr>
          <w:sz w:val="22"/>
          <w:szCs w:val="22"/>
          <w:lang w:val="ru-RU"/>
        </w:rPr>
        <w:t>трьох</w:t>
      </w:r>
      <w:proofErr w:type="spellEnd"/>
      <w:r w:rsidR="00E0262E" w:rsidRPr="00A02F69">
        <w:rPr>
          <w:sz w:val="22"/>
          <w:szCs w:val="22"/>
          <w:lang w:val="ru-RU"/>
        </w:rPr>
        <w:t>)</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374F439A"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оплати</w:t>
      </w:r>
      <w:r w:rsidRPr="00A02F69">
        <w:rPr>
          <w:sz w:val="22"/>
          <w:szCs w:val="22"/>
          <w:lang w:val="ru-RU"/>
        </w:rPr>
        <w:t xml:space="preserve">: </w:t>
      </w:r>
      <w:bookmarkStart w:id="3" w:name="_Hlk80120293"/>
      <w:proofErr w:type="spellStart"/>
      <w:r w:rsidR="00B11DFA" w:rsidRPr="00A02F69">
        <w:rPr>
          <w:sz w:val="22"/>
          <w:szCs w:val="22"/>
          <w:lang w:val="ru-RU"/>
        </w:rPr>
        <w:t>протягом</w:t>
      </w:r>
      <w:proofErr w:type="spellEnd"/>
      <w:r w:rsidR="00B11DFA" w:rsidRPr="00A02F69">
        <w:rPr>
          <w:sz w:val="22"/>
          <w:szCs w:val="22"/>
          <w:lang w:val="ru-RU"/>
        </w:rPr>
        <w:t xml:space="preserve"> </w:t>
      </w:r>
      <w:r w:rsidR="00E0262E" w:rsidRPr="00A02F69">
        <w:rPr>
          <w:sz w:val="22"/>
          <w:szCs w:val="22"/>
          <w:lang w:val="ru-RU"/>
        </w:rPr>
        <w:t>5 (</w:t>
      </w:r>
      <w:proofErr w:type="spellStart"/>
      <w:r w:rsidR="00E0262E" w:rsidRPr="00A02F69">
        <w:rPr>
          <w:sz w:val="22"/>
          <w:szCs w:val="22"/>
          <w:lang w:val="ru-RU"/>
        </w:rPr>
        <w:t>п’яти</w:t>
      </w:r>
      <w:proofErr w:type="spellEnd"/>
      <w:r w:rsidR="00E0262E" w:rsidRPr="00A02F69">
        <w:rPr>
          <w:sz w:val="22"/>
          <w:szCs w:val="22"/>
          <w:lang w:val="ru-RU"/>
        </w:rPr>
        <w:t>)</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поставки </w:t>
      </w:r>
      <w:proofErr w:type="spellStart"/>
      <w:r w:rsidRPr="00A02F69">
        <w:rPr>
          <w:sz w:val="22"/>
          <w:szCs w:val="22"/>
          <w:lang w:val="ru-RU"/>
        </w:rPr>
        <w:t>продукції</w:t>
      </w:r>
      <w:proofErr w:type="spellEnd"/>
      <w:r w:rsidRPr="00A02F69">
        <w:rPr>
          <w:sz w:val="22"/>
          <w:szCs w:val="22"/>
          <w:lang w:val="ru-RU"/>
        </w:rPr>
        <w:t xml:space="preserve"> на склад Покупця на </w:t>
      </w:r>
      <w:proofErr w:type="spellStart"/>
      <w:r w:rsidRPr="00A02F69">
        <w:rPr>
          <w:sz w:val="22"/>
          <w:szCs w:val="22"/>
          <w:lang w:val="ru-RU"/>
        </w:rPr>
        <w:t>підставі</w:t>
      </w:r>
      <w:proofErr w:type="spellEnd"/>
      <w:r w:rsidRPr="00A02F69">
        <w:rPr>
          <w:sz w:val="22"/>
          <w:szCs w:val="22"/>
          <w:lang w:val="ru-RU"/>
        </w:rPr>
        <w:t xml:space="preserve"> </w:t>
      </w:r>
      <w:proofErr w:type="spellStart"/>
      <w:r w:rsidRPr="00A02F69">
        <w:rPr>
          <w:sz w:val="22"/>
          <w:szCs w:val="22"/>
          <w:lang w:val="ru-RU"/>
        </w:rPr>
        <w:t>видаткової</w:t>
      </w:r>
      <w:proofErr w:type="spellEnd"/>
      <w:r w:rsidRPr="00A02F69">
        <w:rPr>
          <w:sz w:val="22"/>
          <w:szCs w:val="22"/>
          <w:lang w:val="ru-RU"/>
        </w:rPr>
        <w:t xml:space="preserve"> </w:t>
      </w:r>
      <w:proofErr w:type="spellStart"/>
      <w:r w:rsidRPr="00A02F69">
        <w:rPr>
          <w:sz w:val="22"/>
          <w:szCs w:val="22"/>
          <w:lang w:val="ru-RU"/>
        </w:rPr>
        <w:t>накладної</w:t>
      </w:r>
      <w:proofErr w:type="spellEnd"/>
      <w:r w:rsidRPr="00A02F69">
        <w:rPr>
          <w:sz w:val="22"/>
          <w:szCs w:val="22"/>
          <w:lang w:val="ru-RU"/>
        </w:rPr>
        <w:t>.</w:t>
      </w:r>
    </w:p>
    <w:bookmarkEnd w:id="3"/>
    <w:p w14:paraId="3CB80D92" w14:textId="23F7153F" w:rsidR="001C7039" w:rsidRPr="00A02F69" w:rsidRDefault="001C7039" w:rsidP="00124243">
      <w:pPr>
        <w:ind w:hanging="180"/>
        <w:rPr>
          <w:sz w:val="22"/>
          <w:szCs w:val="22"/>
        </w:rPr>
      </w:pPr>
    </w:p>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6B83CA75" w14:textId="65558B44" w:rsidR="00223F27" w:rsidRPr="00223F27" w:rsidRDefault="00223F27" w:rsidP="00223F27">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О. В. БОНДАРЕНКО</w:t>
            </w:r>
          </w:p>
          <w:p w14:paraId="4B34800F" w14:textId="77777777" w:rsidR="00223F27" w:rsidRPr="00223F27" w:rsidRDefault="00223F27" w:rsidP="00223F27">
            <w:pPr>
              <w:autoSpaceDE w:val="0"/>
              <w:autoSpaceDN w:val="0"/>
              <w:adjustRightInd w:val="0"/>
              <w:jc w:val="left"/>
              <w:rPr>
                <w:sz w:val="22"/>
                <w:szCs w:val="22"/>
              </w:rPr>
            </w:pP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BC2E4A">
      <w:footerReference w:type="even" r:id="rId7"/>
      <w:footerReference w:type="default" r:id="rId8"/>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F127F" w14:textId="77777777" w:rsidR="006D7383" w:rsidRDefault="006D7383">
      <w:pPr>
        <w:spacing w:before="0" w:after="0"/>
      </w:pPr>
      <w:r>
        <w:separator/>
      </w:r>
    </w:p>
  </w:endnote>
  <w:endnote w:type="continuationSeparator" w:id="0">
    <w:p w14:paraId="514917DC" w14:textId="77777777" w:rsidR="006D7383" w:rsidRDefault="006D73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6D73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4661">
      <w:rPr>
        <w:rStyle w:val="a5"/>
        <w:noProof/>
      </w:rPr>
      <w:t>12</w:t>
    </w:r>
    <w:r>
      <w:rPr>
        <w:rStyle w:val="a5"/>
      </w:rPr>
      <w:fldChar w:fldCharType="end"/>
    </w:r>
  </w:p>
  <w:p w14:paraId="3D0C91CF" w14:textId="77777777" w:rsidR="00E1134C" w:rsidRDefault="006D73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4C93" w14:textId="77777777" w:rsidR="006D7383" w:rsidRDefault="006D7383">
      <w:pPr>
        <w:spacing w:before="0" w:after="0"/>
      </w:pPr>
      <w:r>
        <w:separator/>
      </w:r>
    </w:p>
  </w:footnote>
  <w:footnote w:type="continuationSeparator" w:id="0">
    <w:p w14:paraId="5A03B801" w14:textId="77777777" w:rsidR="006D7383" w:rsidRDefault="006D73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8511A"/>
    <w:rsid w:val="000D5C76"/>
    <w:rsid w:val="000E7422"/>
    <w:rsid w:val="00124243"/>
    <w:rsid w:val="001C7039"/>
    <w:rsid w:val="00223F27"/>
    <w:rsid w:val="00235E97"/>
    <w:rsid w:val="00246ECC"/>
    <w:rsid w:val="002512EF"/>
    <w:rsid w:val="00273471"/>
    <w:rsid w:val="00284D49"/>
    <w:rsid w:val="002D7D47"/>
    <w:rsid w:val="002D7F6B"/>
    <w:rsid w:val="002E0F98"/>
    <w:rsid w:val="00326ED1"/>
    <w:rsid w:val="00416F24"/>
    <w:rsid w:val="00436E4A"/>
    <w:rsid w:val="0044569B"/>
    <w:rsid w:val="0058423B"/>
    <w:rsid w:val="00603866"/>
    <w:rsid w:val="00634B3F"/>
    <w:rsid w:val="00662C37"/>
    <w:rsid w:val="006D7383"/>
    <w:rsid w:val="006F124E"/>
    <w:rsid w:val="006F60D7"/>
    <w:rsid w:val="00781CC8"/>
    <w:rsid w:val="007F3EC5"/>
    <w:rsid w:val="007F653F"/>
    <w:rsid w:val="008550B5"/>
    <w:rsid w:val="00955454"/>
    <w:rsid w:val="009B460A"/>
    <w:rsid w:val="00A02F69"/>
    <w:rsid w:val="00A04B93"/>
    <w:rsid w:val="00A22961"/>
    <w:rsid w:val="00B11DFA"/>
    <w:rsid w:val="00B128A4"/>
    <w:rsid w:val="00BA67BF"/>
    <w:rsid w:val="00BE6D42"/>
    <w:rsid w:val="00BF1820"/>
    <w:rsid w:val="00C2670D"/>
    <w:rsid w:val="00CF6CC8"/>
    <w:rsid w:val="00D108EA"/>
    <w:rsid w:val="00D30956"/>
    <w:rsid w:val="00D31B87"/>
    <w:rsid w:val="00D81E00"/>
    <w:rsid w:val="00D9505A"/>
    <w:rsid w:val="00E0262E"/>
    <w:rsid w:val="00E20D67"/>
    <w:rsid w:val="00EA1616"/>
    <w:rsid w:val="00EC6430"/>
    <w:rsid w:val="00F136FA"/>
    <w:rsid w:val="00F45DF1"/>
    <w:rsid w:val="00F46A2F"/>
    <w:rsid w:val="00F626BE"/>
    <w:rsid w:val="00FB4661"/>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32926</Words>
  <Characters>18768</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11</cp:revision>
  <dcterms:created xsi:type="dcterms:W3CDTF">2022-11-23T13:32:00Z</dcterms:created>
  <dcterms:modified xsi:type="dcterms:W3CDTF">2023-03-20T05:51:00Z</dcterms:modified>
</cp:coreProperties>
</file>