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07" w:rsidRDefault="005C570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CB2A07" w:rsidRDefault="00CB2A07">
      <w:pPr>
        <w:spacing w:line="240" w:lineRule="auto"/>
        <w:rPr>
          <w:rFonts w:ascii="Times New Roman" w:eastAsia="Times New Roman" w:hAnsi="Times New Roman" w:cs="Times New Roman"/>
          <w:sz w:val="24"/>
          <w:szCs w:val="24"/>
        </w:rPr>
      </w:pPr>
    </w:p>
    <w:p w:rsidR="00CB2A07" w:rsidRDefault="003600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м</w:t>
      </w:r>
      <w:r w:rsidR="00804A35">
        <w:rPr>
          <w:rFonts w:ascii="Times New Roman" w:eastAsia="Times New Roman" w:hAnsi="Times New Roman" w:cs="Times New Roman"/>
          <w:sz w:val="24"/>
          <w:szCs w:val="24"/>
          <w:lang w:val="uk-UA"/>
        </w:rPr>
        <w:t>.</w:t>
      </w:r>
      <w:r w:rsidR="0075136D">
        <w:rPr>
          <w:rFonts w:ascii="Times New Roman" w:eastAsia="Times New Roman" w:hAnsi="Times New Roman" w:cs="Times New Roman"/>
          <w:sz w:val="24"/>
          <w:szCs w:val="24"/>
        </w:rPr>
        <w:t xml:space="preserve"> Жмеринка</w:t>
      </w:r>
      <w:r w:rsidR="005C5707">
        <w:rPr>
          <w:rFonts w:ascii="Times New Roman" w:eastAsia="Times New Roman" w:hAnsi="Times New Roman" w:cs="Times New Roman"/>
          <w:sz w:val="24"/>
          <w:szCs w:val="24"/>
        </w:rPr>
        <w:t>, Україна                                                                «__» __________ 20</w:t>
      </w:r>
      <w:r w:rsidR="0075136D">
        <w:rPr>
          <w:rFonts w:ascii="Times New Roman" w:eastAsia="Times New Roman" w:hAnsi="Times New Roman" w:cs="Times New Roman"/>
          <w:sz w:val="24"/>
          <w:szCs w:val="24"/>
          <w:lang w:val="uk-UA"/>
        </w:rPr>
        <w:t>2</w:t>
      </w:r>
      <w:r w:rsidR="009664DB">
        <w:rPr>
          <w:rFonts w:ascii="Times New Roman" w:eastAsia="Times New Roman" w:hAnsi="Times New Roman" w:cs="Times New Roman"/>
          <w:sz w:val="24"/>
          <w:szCs w:val="24"/>
          <w:lang w:val="uk-UA"/>
        </w:rPr>
        <w:t>4</w:t>
      </w:r>
      <w:r w:rsidR="005C5707">
        <w:rPr>
          <w:rFonts w:ascii="Times New Roman" w:eastAsia="Times New Roman" w:hAnsi="Times New Roman" w:cs="Times New Roman"/>
          <w:sz w:val="24"/>
          <w:szCs w:val="24"/>
        </w:rPr>
        <w:t xml:space="preserve"> року</w:t>
      </w:r>
    </w:p>
    <w:p w:rsidR="00CB2A07" w:rsidRDefault="00CB2A07">
      <w:pPr>
        <w:spacing w:line="240" w:lineRule="auto"/>
        <w:rPr>
          <w:rFonts w:ascii="Times New Roman" w:eastAsia="Times New Roman" w:hAnsi="Times New Roman" w:cs="Times New Roman"/>
          <w:sz w:val="24"/>
          <w:szCs w:val="24"/>
        </w:rPr>
      </w:pPr>
    </w:p>
    <w:p w:rsidR="00CB2A07" w:rsidRDefault="0075136D">
      <w:pPr>
        <w:spacing w:line="240" w:lineRule="auto"/>
        <w:rPr>
          <w:rFonts w:ascii="Times New Roman" w:eastAsia="Times New Roman" w:hAnsi="Times New Roman" w:cs="Times New Roman"/>
          <w:sz w:val="24"/>
          <w:szCs w:val="24"/>
        </w:rPr>
      </w:pPr>
      <w:r w:rsidRPr="0075136D">
        <w:rPr>
          <w:rFonts w:ascii="Times New Roman" w:hAnsi="Times New Roman" w:cs="Times New Roman"/>
          <w:b/>
          <w:snapToGrid w:val="0"/>
          <w:color w:val="000000"/>
          <w:sz w:val="24"/>
          <w:szCs w:val="24"/>
          <w:lang w:val="uk-UA"/>
        </w:rPr>
        <w:t>КОМУНАЛЬНЕ ПІДПРИЄМСТВО ЖМЕРИНКАКОМУНСЕРВІС</w:t>
      </w:r>
      <w:r w:rsidR="005C5707">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lang w:val="uk-UA"/>
        </w:rPr>
        <w:t>33322943</w:t>
      </w:r>
      <w:r w:rsidR="005C5707">
        <w:rPr>
          <w:rFonts w:ascii="Times New Roman" w:eastAsia="Times New Roman" w:hAnsi="Times New Roman" w:cs="Times New Roman"/>
          <w:sz w:val="24"/>
          <w:szCs w:val="24"/>
        </w:rPr>
        <w:t xml:space="preserve">, надалі іменується – Покупець, в особі </w:t>
      </w:r>
      <w:r>
        <w:rPr>
          <w:rFonts w:ascii="Times New Roman" w:eastAsia="Times New Roman" w:hAnsi="Times New Roman" w:cs="Times New Roman"/>
          <w:sz w:val="24"/>
          <w:szCs w:val="24"/>
          <w:lang w:val="uk-UA"/>
        </w:rPr>
        <w:t>директора Фокіна Сергія Леонідовича</w:t>
      </w:r>
      <w:r w:rsidR="005C5707">
        <w:rPr>
          <w:rFonts w:ascii="Times New Roman" w:eastAsia="Times New Roman" w:hAnsi="Times New Roman" w:cs="Times New Roman"/>
          <w:sz w:val="24"/>
          <w:szCs w:val="24"/>
        </w:rPr>
        <w:t xml:space="preserve">, який(-а) діє на підставі </w:t>
      </w:r>
      <w:r>
        <w:rPr>
          <w:rFonts w:ascii="Times New Roman" w:eastAsia="Times New Roman" w:hAnsi="Times New Roman" w:cs="Times New Roman"/>
          <w:sz w:val="24"/>
          <w:szCs w:val="24"/>
          <w:lang w:val="uk-UA"/>
        </w:rPr>
        <w:t>Статуту</w:t>
      </w:r>
      <w:r w:rsidR="005C5707">
        <w:rPr>
          <w:rFonts w:ascii="Times New Roman" w:eastAsia="Times New Roman" w:hAnsi="Times New Roman" w:cs="Times New Roman"/>
          <w:sz w:val="24"/>
          <w:szCs w:val="24"/>
        </w:rPr>
        <w:t>, з однієї сторони, та</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CB2A07" w:rsidRPr="00C7039B" w:rsidRDefault="005C5707" w:rsidP="00C7039B">
      <w:pPr>
        <w:spacing w:line="240" w:lineRule="auto"/>
        <w:ind w:left="284" w:firstLine="142"/>
        <w:jc w:val="center"/>
        <w:rPr>
          <w:rFonts w:ascii="Times New Roman" w:eastAsia="Times New Roman" w:hAnsi="Times New Roman" w:cs="Times New Roman"/>
          <w:b/>
          <w:sz w:val="24"/>
          <w:szCs w:val="24"/>
        </w:rPr>
      </w:pPr>
      <w:r w:rsidRPr="00C7039B">
        <w:rPr>
          <w:rFonts w:ascii="Times New Roman" w:eastAsia="Times New Roman" w:hAnsi="Times New Roman" w:cs="Times New Roman"/>
          <w:b/>
          <w:sz w:val="24"/>
          <w:szCs w:val="24"/>
        </w:rPr>
        <w:t>1. ПРЕДМЕТ ДОГОВОРУ</w:t>
      </w:r>
    </w:p>
    <w:p w:rsidR="00D52BCC" w:rsidRPr="00D52BCC" w:rsidRDefault="00D52BCC" w:rsidP="00D52BCC">
      <w:pPr>
        <w:tabs>
          <w:tab w:val="left" w:pos="10206"/>
        </w:tabs>
        <w:spacing w:line="240" w:lineRule="auto"/>
        <w:jc w:val="both"/>
        <w:rPr>
          <w:rFonts w:ascii="Times New Roman" w:eastAsia="Calibri" w:hAnsi="Times New Roman" w:cs="Times New Roman"/>
          <w:sz w:val="24"/>
          <w:szCs w:val="24"/>
          <w:lang w:val="uk-UA" w:eastAsia="en-US"/>
        </w:rPr>
      </w:pPr>
      <w:r w:rsidRPr="00D52BCC">
        <w:rPr>
          <w:rFonts w:ascii="Times New Roman" w:eastAsia="Calibri" w:hAnsi="Times New Roman" w:cs="Times New Roman"/>
          <w:sz w:val="24"/>
          <w:szCs w:val="24"/>
          <w:lang w:val="uk-UA" w:eastAsia="en-US"/>
        </w:rPr>
        <w:t>1.1. Продавець зобов’язується в порядку та на умовах, визначених Договором,  поставити  у 2023 році товари , зазначені в п.1.2. Договору, а Покупець - прийняти та оплатити ці товари.</w:t>
      </w:r>
    </w:p>
    <w:p w:rsidR="00D52BCC" w:rsidRPr="00D52BCC" w:rsidRDefault="00D52BCC" w:rsidP="00D52BCC">
      <w:pPr>
        <w:tabs>
          <w:tab w:val="left" w:pos="10206"/>
        </w:tabs>
        <w:spacing w:line="240" w:lineRule="auto"/>
        <w:jc w:val="both"/>
        <w:rPr>
          <w:rFonts w:ascii="Times New Roman" w:eastAsia="Calibri" w:hAnsi="Times New Roman" w:cs="Times New Roman"/>
          <w:b/>
          <w:bCs/>
          <w:color w:val="000000"/>
          <w:sz w:val="24"/>
          <w:szCs w:val="24"/>
          <w:lang w:val="uk-UA" w:eastAsia="ru-RU"/>
        </w:rPr>
      </w:pPr>
      <w:r w:rsidRPr="00D52BCC">
        <w:rPr>
          <w:rFonts w:ascii="Times New Roman" w:eastAsia="Calibri" w:hAnsi="Times New Roman" w:cs="Times New Roman"/>
          <w:sz w:val="24"/>
          <w:szCs w:val="24"/>
          <w:lang w:val="uk-UA" w:eastAsia="en-US"/>
        </w:rPr>
        <w:t xml:space="preserve">1.2. Найменування (номенклатура, асортимент) товарів: </w:t>
      </w:r>
      <w:r w:rsidRPr="00D52BCC">
        <w:rPr>
          <w:rFonts w:ascii="Times New Roman" w:eastAsia="Calibri" w:hAnsi="Times New Roman" w:cs="Times New Roman"/>
          <w:b/>
          <w:noProof/>
          <w:sz w:val="24"/>
          <w:szCs w:val="24"/>
          <w:lang w:val="uk-UA" w:eastAsia="en-US"/>
        </w:rPr>
        <w:t>Бензин А-9</w:t>
      </w:r>
      <w:r w:rsidR="002A0E38">
        <w:rPr>
          <w:rFonts w:ascii="Times New Roman" w:eastAsia="Calibri" w:hAnsi="Times New Roman" w:cs="Times New Roman"/>
          <w:b/>
          <w:noProof/>
          <w:sz w:val="24"/>
          <w:szCs w:val="24"/>
          <w:lang w:val="uk-UA" w:eastAsia="en-US"/>
        </w:rPr>
        <w:t>2</w:t>
      </w:r>
      <w:r w:rsidRPr="00D52BCC">
        <w:rPr>
          <w:rFonts w:ascii="Times New Roman" w:eastAsia="Calibri" w:hAnsi="Times New Roman" w:cs="Times New Roman"/>
          <w:b/>
          <w:noProof/>
          <w:sz w:val="24"/>
          <w:szCs w:val="24"/>
          <w:lang w:val="uk-UA" w:eastAsia="en-US"/>
        </w:rPr>
        <w:t>, дизельне паливо (талони), код ДК 021:2015 – 09130000-9 – Нафта і дистиляти. Кількість: Бензин А-9</w:t>
      </w:r>
      <w:r>
        <w:rPr>
          <w:rFonts w:ascii="Times New Roman" w:eastAsia="Calibri" w:hAnsi="Times New Roman" w:cs="Times New Roman"/>
          <w:b/>
          <w:noProof/>
          <w:sz w:val="24"/>
          <w:szCs w:val="24"/>
          <w:lang w:val="uk-UA" w:eastAsia="en-US"/>
        </w:rPr>
        <w:t>2</w:t>
      </w:r>
      <w:r w:rsidRPr="00D52BCC">
        <w:rPr>
          <w:rFonts w:ascii="Times New Roman" w:eastAsia="Calibri" w:hAnsi="Times New Roman" w:cs="Times New Roman"/>
          <w:b/>
          <w:noProof/>
          <w:sz w:val="24"/>
          <w:szCs w:val="24"/>
          <w:lang w:val="uk-UA" w:eastAsia="en-US"/>
        </w:rPr>
        <w:t xml:space="preserve"> – </w:t>
      </w:r>
      <w:r w:rsidR="00E80ACA">
        <w:rPr>
          <w:rFonts w:ascii="Times New Roman" w:eastAsia="Calibri" w:hAnsi="Times New Roman" w:cs="Times New Roman"/>
          <w:b/>
          <w:noProof/>
          <w:sz w:val="24"/>
          <w:szCs w:val="24"/>
          <w:lang w:val="uk-UA" w:eastAsia="en-US"/>
        </w:rPr>
        <w:t>10</w:t>
      </w:r>
      <w:r w:rsidR="00A707CB">
        <w:rPr>
          <w:rFonts w:ascii="Times New Roman" w:eastAsia="Calibri" w:hAnsi="Times New Roman" w:cs="Times New Roman"/>
          <w:b/>
          <w:noProof/>
          <w:sz w:val="24"/>
          <w:szCs w:val="24"/>
          <w:lang w:val="uk-UA" w:eastAsia="en-US"/>
        </w:rPr>
        <w:t>0</w:t>
      </w:r>
      <w:r w:rsidRPr="00D52BCC">
        <w:rPr>
          <w:rFonts w:ascii="Times New Roman" w:eastAsia="Calibri" w:hAnsi="Times New Roman" w:cs="Times New Roman"/>
          <w:b/>
          <w:noProof/>
          <w:sz w:val="24"/>
          <w:szCs w:val="24"/>
          <w:lang w:val="uk-UA" w:eastAsia="en-US"/>
        </w:rPr>
        <w:t xml:space="preserve"> літрів; Дизельне паливо </w:t>
      </w:r>
      <w:r w:rsidR="00910BD5">
        <w:rPr>
          <w:rFonts w:ascii="Times New Roman" w:eastAsia="Calibri" w:hAnsi="Times New Roman" w:cs="Times New Roman"/>
          <w:b/>
          <w:noProof/>
          <w:sz w:val="24"/>
          <w:szCs w:val="24"/>
          <w:lang w:val="uk-UA" w:eastAsia="en-US"/>
        </w:rPr>
        <w:t>-200</w:t>
      </w:r>
      <w:r w:rsidRPr="00D52BCC">
        <w:rPr>
          <w:rFonts w:ascii="Times New Roman" w:eastAsia="Calibri" w:hAnsi="Times New Roman" w:cs="Times New Roman"/>
          <w:b/>
          <w:noProof/>
          <w:sz w:val="24"/>
          <w:szCs w:val="24"/>
          <w:lang w:val="uk-UA" w:eastAsia="en-US"/>
        </w:rPr>
        <w:t xml:space="preserve"> літрів.</w:t>
      </w:r>
    </w:p>
    <w:p w:rsidR="00D52BCC" w:rsidRPr="00D52BCC" w:rsidRDefault="00D52BCC" w:rsidP="00D52BCC">
      <w:pPr>
        <w:tabs>
          <w:tab w:val="left" w:pos="10206"/>
        </w:tabs>
        <w:spacing w:line="240" w:lineRule="auto"/>
        <w:jc w:val="both"/>
        <w:rPr>
          <w:rFonts w:ascii="Times New Roman" w:eastAsia="Calibri" w:hAnsi="Times New Roman" w:cs="Times New Roman"/>
          <w:spacing w:val="-3"/>
          <w:sz w:val="24"/>
          <w:szCs w:val="24"/>
          <w:lang w:val="uk-UA" w:eastAsia="en-US"/>
        </w:rPr>
      </w:pPr>
      <w:r w:rsidRPr="00D52BCC">
        <w:rPr>
          <w:rFonts w:ascii="Times New Roman" w:eastAsia="Calibri" w:hAnsi="Times New Roman" w:cs="Times New Roman"/>
          <w:color w:val="000000"/>
          <w:sz w:val="24"/>
          <w:szCs w:val="24"/>
          <w:lang w:val="uk-UA" w:eastAsia="en-US"/>
        </w:rPr>
        <w:t>1.3. Обсяги закупівлі товарів можуть бути зменшені залежно від реального фінансування видатків Покупця та коливання цін на ринку пального. </w:t>
      </w:r>
    </w:p>
    <w:p w:rsidR="00D52BCC" w:rsidRPr="00D52BCC" w:rsidRDefault="00D52BCC" w:rsidP="00D52BCC">
      <w:pPr>
        <w:shd w:val="clear" w:color="auto" w:fill="FFFFFF"/>
        <w:tabs>
          <w:tab w:val="left" w:pos="10206"/>
        </w:tabs>
        <w:spacing w:line="240" w:lineRule="auto"/>
        <w:jc w:val="both"/>
        <w:rPr>
          <w:rFonts w:ascii="Times New Roman" w:eastAsia="Calibri" w:hAnsi="Times New Roman" w:cs="Times New Roman"/>
          <w:spacing w:val="-3"/>
          <w:sz w:val="24"/>
          <w:szCs w:val="24"/>
          <w:lang w:val="uk-UA" w:eastAsia="en-US"/>
        </w:rPr>
      </w:pPr>
      <w:r w:rsidRPr="00D52BCC">
        <w:rPr>
          <w:rFonts w:ascii="Times New Roman" w:eastAsia="Calibri" w:hAnsi="Times New Roman" w:cs="Times New Roman"/>
          <w:spacing w:val="-3"/>
          <w:sz w:val="24"/>
          <w:szCs w:val="24"/>
          <w:lang w:val="uk-UA" w:eastAsia="en-US"/>
        </w:rPr>
        <w:t>1.4. Відпуск Товару з АЗС здійснюється за талонами</w:t>
      </w:r>
      <w:r w:rsidRPr="00D52BCC">
        <w:rPr>
          <w:rFonts w:ascii="Times New Roman" w:eastAsia="Calibri" w:hAnsi="Times New Roman" w:cs="Times New Roman"/>
          <w:color w:val="000000"/>
          <w:sz w:val="24"/>
          <w:szCs w:val="24"/>
          <w:lang w:val="uk-UA" w:bidi="uk-UA"/>
        </w:rPr>
        <w:t>/</w:t>
      </w:r>
      <w:proofErr w:type="spellStart"/>
      <w:r w:rsidRPr="00D52BCC">
        <w:rPr>
          <w:rFonts w:ascii="Times New Roman" w:eastAsia="Calibri" w:hAnsi="Times New Roman" w:cs="Times New Roman"/>
          <w:color w:val="000000"/>
          <w:sz w:val="24"/>
          <w:szCs w:val="24"/>
          <w:lang w:val="uk-UA" w:bidi="uk-UA"/>
        </w:rPr>
        <w:t>скретч</w:t>
      </w:r>
      <w:proofErr w:type="spellEnd"/>
      <w:r w:rsidRPr="00D52BCC">
        <w:rPr>
          <w:rFonts w:ascii="Times New Roman" w:eastAsia="Calibri" w:hAnsi="Times New Roman" w:cs="Times New Roman"/>
          <w:color w:val="000000"/>
          <w:sz w:val="24"/>
          <w:szCs w:val="24"/>
          <w:lang w:val="uk-UA" w:bidi="uk-UA"/>
        </w:rPr>
        <w:t xml:space="preserve"> картками/паливними картками</w:t>
      </w:r>
      <w:r w:rsidRPr="00D52BCC">
        <w:rPr>
          <w:rFonts w:ascii="Times New Roman" w:eastAsia="Calibri" w:hAnsi="Times New Roman" w:cs="Times New Roman"/>
          <w:spacing w:val="-3"/>
          <w:sz w:val="24"/>
          <w:szCs w:val="24"/>
          <w:lang w:val="uk-UA" w:eastAsia="en-US"/>
        </w:rPr>
        <w:t xml:space="preserve"> відповідно до п. 10 Правил роздрібної торгівлі нафтопродуктами, затверджених Постановою Кабінету Міністрів України № 1442 від 20.12.1997 .</w:t>
      </w:r>
    </w:p>
    <w:p w:rsidR="00CB2A07" w:rsidRDefault="005C570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D52BCC" w:rsidRPr="00D52BCC" w:rsidRDefault="00D82EB5" w:rsidP="00D52BCC">
      <w:pPr>
        <w:tabs>
          <w:tab w:val="left" w:pos="10206"/>
        </w:tabs>
        <w:spacing w:line="240" w:lineRule="auto"/>
        <w:jc w:val="both"/>
        <w:rPr>
          <w:rFonts w:ascii="Times New Roman" w:eastAsia="Calibri" w:hAnsi="Times New Roman" w:cs="Times New Roman"/>
          <w:sz w:val="24"/>
          <w:szCs w:val="24"/>
          <w:lang w:val="uk-UA" w:eastAsia="en-US"/>
        </w:rPr>
      </w:pPr>
      <w:r>
        <w:rPr>
          <w:rFonts w:ascii="Times New Roman" w:eastAsia="Calibri" w:hAnsi="Times New Roman" w:cs="Times New Roman"/>
          <w:color w:val="000000"/>
          <w:sz w:val="24"/>
          <w:szCs w:val="24"/>
          <w:lang w:val="uk-UA" w:eastAsia="en-US"/>
        </w:rPr>
        <w:t>2</w:t>
      </w:r>
      <w:r w:rsidR="00D52BCC" w:rsidRPr="00D52BCC">
        <w:rPr>
          <w:rFonts w:ascii="Times New Roman" w:eastAsia="Calibri" w:hAnsi="Times New Roman" w:cs="Times New Roman"/>
          <w:color w:val="000000"/>
          <w:sz w:val="24"/>
          <w:szCs w:val="24"/>
          <w:lang w:val="uk-UA" w:eastAsia="en-US"/>
        </w:rPr>
        <w:t xml:space="preserve">.1. Ціна цього Договору становить </w:t>
      </w:r>
      <w:r w:rsidR="00D52BCC" w:rsidRPr="00D52BCC">
        <w:rPr>
          <w:rFonts w:ascii="Times New Roman" w:eastAsia="Calibri" w:hAnsi="Times New Roman" w:cs="Times New Roman"/>
          <w:color w:val="000000"/>
          <w:sz w:val="24"/>
          <w:szCs w:val="24"/>
          <w:lang w:val="ru-RU" w:eastAsia="en-US"/>
        </w:rPr>
        <w:t>_____________________</w:t>
      </w:r>
      <w:r w:rsidR="00D52BCC" w:rsidRPr="00D52BCC">
        <w:rPr>
          <w:rFonts w:ascii="Times New Roman" w:eastAsia="Calibri" w:hAnsi="Times New Roman" w:cs="Calibri"/>
          <w:sz w:val="24"/>
          <w:szCs w:val="24"/>
          <w:lang w:val="uk-UA" w:eastAsia="en-US"/>
        </w:rPr>
        <w:t>.</w:t>
      </w:r>
      <w:r w:rsidR="00D52BCC" w:rsidRPr="00D52BCC">
        <w:rPr>
          <w:rFonts w:ascii="Times New Roman" w:eastAsia="Calibri" w:hAnsi="Times New Roman" w:cs="Times New Roman"/>
          <w:b/>
          <w:sz w:val="24"/>
          <w:szCs w:val="24"/>
          <w:lang w:val="uk-UA" w:eastAsia="en-US"/>
        </w:rPr>
        <w:t xml:space="preserve">, </w:t>
      </w:r>
      <w:r w:rsidR="00D52BCC" w:rsidRPr="00D52BCC">
        <w:rPr>
          <w:rFonts w:ascii="Times New Roman" w:eastAsia="Calibri" w:hAnsi="Times New Roman" w:cs="Times New Roman"/>
          <w:sz w:val="24"/>
          <w:szCs w:val="24"/>
          <w:lang w:val="uk-UA" w:eastAsia="en-US"/>
        </w:rPr>
        <w:t xml:space="preserve">в </w:t>
      </w:r>
      <w:proofErr w:type="spellStart"/>
      <w:r w:rsidR="00D52BCC" w:rsidRPr="00D52BCC">
        <w:rPr>
          <w:rFonts w:ascii="Times New Roman" w:eastAsia="Calibri" w:hAnsi="Times New Roman" w:cs="Times New Roman"/>
          <w:sz w:val="24"/>
          <w:szCs w:val="24"/>
          <w:lang w:val="uk-UA" w:eastAsia="en-US"/>
        </w:rPr>
        <w:t>т.ч</w:t>
      </w:r>
      <w:proofErr w:type="spellEnd"/>
      <w:r w:rsidR="00D52BCC" w:rsidRPr="00D52BCC">
        <w:rPr>
          <w:rFonts w:ascii="Times New Roman" w:eastAsia="Calibri" w:hAnsi="Times New Roman" w:cs="Times New Roman"/>
          <w:sz w:val="24"/>
          <w:szCs w:val="24"/>
          <w:lang w:val="uk-UA" w:eastAsia="en-US"/>
        </w:rPr>
        <w:t xml:space="preserve">. ПДВ </w:t>
      </w:r>
      <w:r w:rsidR="00D52BCC" w:rsidRPr="00D52BCC">
        <w:rPr>
          <w:rFonts w:ascii="Times New Roman" w:eastAsia="Calibri" w:hAnsi="Times New Roman" w:cs="Times New Roman"/>
          <w:sz w:val="24"/>
          <w:szCs w:val="24"/>
          <w:lang w:val="ru-RU" w:eastAsia="en-US"/>
        </w:rPr>
        <w:t>___________</w:t>
      </w:r>
      <w:r w:rsidR="00D52BCC" w:rsidRPr="00D52BCC">
        <w:rPr>
          <w:rFonts w:ascii="Times New Roman" w:eastAsia="Calibri" w:hAnsi="Times New Roman" w:cs="Times New Roman"/>
          <w:sz w:val="24"/>
          <w:szCs w:val="24"/>
          <w:lang w:val="uk-UA" w:eastAsia="en-US"/>
        </w:rPr>
        <w:t>.</w:t>
      </w:r>
    </w:p>
    <w:p w:rsidR="00D52BCC" w:rsidRPr="00D52BCC" w:rsidRDefault="00D82EB5" w:rsidP="00D52BCC">
      <w:pPr>
        <w:tabs>
          <w:tab w:val="left" w:pos="10206"/>
        </w:tabs>
        <w:spacing w:line="240" w:lineRule="auto"/>
        <w:jc w:val="both"/>
        <w:rPr>
          <w:rFonts w:ascii="Times New Roman" w:eastAsia="Calibri" w:hAnsi="Times New Roman" w:cs="Times New Roman"/>
          <w:color w:val="000000"/>
          <w:sz w:val="24"/>
          <w:szCs w:val="24"/>
          <w:lang w:val="uk-UA" w:eastAsia="en-US"/>
        </w:rPr>
      </w:pPr>
      <w:r>
        <w:rPr>
          <w:rFonts w:ascii="Times New Roman" w:eastAsia="Calibri" w:hAnsi="Times New Roman" w:cs="Times New Roman"/>
          <w:sz w:val="24"/>
          <w:szCs w:val="24"/>
          <w:lang w:val="uk-UA" w:eastAsia="en-US"/>
        </w:rPr>
        <w:t>2</w:t>
      </w:r>
      <w:r w:rsidR="00D52BCC" w:rsidRPr="00D52BCC">
        <w:rPr>
          <w:rFonts w:ascii="Times New Roman" w:eastAsia="Calibri" w:hAnsi="Times New Roman" w:cs="Times New Roman"/>
          <w:sz w:val="24"/>
          <w:szCs w:val="24"/>
          <w:lang w:val="uk-UA" w:eastAsia="en-US"/>
        </w:rPr>
        <w:t xml:space="preserve">.2. Ціна за одиницю Товару з врахуванням ПДВ: </w:t>
      </w:r>
      <w:r w:rsidR="00D52BCC" w:rsidRPr="00D52BCC">
        <w:rPr>
          <w:rFonts w:ascii="Times New Roman" w:eastAsia="Calibri" w:hAnsi="Times New Roman" w:cs="Times New Roman"/>
          <w:bCs/>
          <w:color w:val="000000"/>
          <w:sz w:val="24"/>
          <w:szCs w:val="24"/>
          <w:lang w:val="uk-UA" w:eastAsia="ru-RU"/>
        </w:rPr>
        <w:t xml:space="preserve">Дизпаливо </w:t>
      </w:r>
      <w:r w:rsidR="00D52BCC" w:rsidRPr="00D52BCC">
        <w:rPr>
          <w:rFonts w:ascii="Times New Roman" w:eastAsia="Calibri" w:hAnsi="Times New Roman" w:cs="Times New Roman"/>
          <w:sz w:val="24"/>
          <w:szCs w:val="24"/>
          <w:lang w:val="uk-UA" w:eastAsia="en-US"/>
        </w:rPr>
        <w:t>– _________ грн./</w:t>
      </w:r>
      <w:proofErr w:type="spellStart"/>
      <w:r w:rsidR="00D52BCC" w:rsidRPr="00D52BCC">
        <w:rPr>
          <w:rFonts w:ascii="Times New Roman" w:eastAsia="Calibri" w:hAnsi="Times New Roman" w:cs="Times New Roman"/>
          <w:sz w:val="24"/>
          <w:szCs w:val="24"/>
          <w:lang w:val="uk-UA" w:eastAsia="en-US"/>
        </w:rPr>
        <w:t>л,бензин</w:t>
      </w:r>
      <w:proofErr w:type="spellEnd"/>
      <w:r w:rsidR="00D52BCC" w:rsidRPr="00D52BCC">
        <w:rPr>
          <w:rFonts w:ascii="Times New Roman" w:eastAsia="Calibri" w:hAnsi="Times New Roman" w:cs="Times New Roman"/>
          <w:sz w:val="24"/>
          <w:szCs w:val="24"/>
          <w:lang w:val="uk-UA" w:eastAsia="en-US"/>
        </w:rPr>
        <w:t xml:space="preserve"> А-9</w:t>
      </w:r>
      <w:r w:rsidR="00E23446">
        <w:rPr>
          <w:rFonts w:ascii="Times New Roman" w:eastAsia="Calibri" w:hAnsi="Times New Roman" w:cs="Times New Roman"/>
          <w:sz w:val="24"/>
          <w:szCs w:val="24"/>
          <w:lang w:val="uk-UA" w:eastAsia="en-US"/>
        </w:rPr>
        <w:t>2</w:t>
      </w:r>
      <w:r w:rsidR="00D52BCC" w:rsidRPr="00D52BCC">
        <w:rPr>
          <w:rFonts w:ascii="Times New Roman" w:eastAsia="Calibri" w:hAnsi="Times New Roman" w:cs="Times New Roman"/>
          <w:sz w:val="24"/>
          <w:szCs w:val="24"/>
          <w:lang w:val="uk-UA" w:eastAsia="en-US"/>
        </w:rPr>
        <w:t xml:space="preserve"> - _______грн./л.</w:t>
      </w:r>
    </w:p>
    <w:p w:rsidR="00D52BCC" w:rsidRPr="00D52BCC" w:rsidRDefault="00D82EB5" w:rsidP="00D52BCC">
      <w:pPr>
        <w:tabs>
          <w:tab w:val="left" w:pos="10206"/>
        </w:tabs>
        <w:spacing w:line="240" w:lineRule="auto"/>
        <w:jc w:val="both"/>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2</w:t>
      </w:r>
      <w:r w:rsidR="00D52BCC" w:rsidRPr="00D52BCC">
        <w:rPr>
          <w:rFonts w:ascii="Times New Roman" w:eastAsia="Calibri" w:hAnsi="Times New Roman" w:cs="Times New Roman"/>
          <w:color w:val="000000"/>
          <w:sz w:val="24"/>
          <w:szCs w:val="24"/>
          <w:lang w:val="uk-UA" w:eastAsia="en-US"/>
        </w:rPr>
        <w:t>.3. Ціна цього Договору може бути зменшена за взаємною згодою Сторін.</w:t>
      </w:r>
    </w:p>
    <w:p w:rsidR="00D52BCC" w:rsidRPr="00D52BCC" w:rsidRDefault="00D82EB5" w:rsidP="00D52BCC">
      <w:pPr>
        <w:tabs>
          <w:tab w:val="left" w:pos="10206"/>
        </w:tabs>
        <w:spacing w:line="240" w:lineRule="auto"/>
        <w:jc w:val="both"/>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2</w:t>
      </w:r>
      <w:r w:rsidR="00D52BCC" w:rsidRPr="00D52BCC">
        <w:rPr>
          <w:rFonts w:ascii="Times New Roman" w:eastAsia="Calibri" w:hAnsi="Times New Roman" w:cs="Times New Roman"/>
          <w:color w:val="000000"/>
          <w:sz w:val="24"/>
          <w:szCs w:val="24"/>
          <w:lang w:val="uk-UA" w:eastAsia="en-US"/>
        </w:rPr>
        <w:t>.4. Ціна за одиницю Товару може бути змінена до ціни на АЗС Продавця на момент продажу Товару з ПДВ але не більше ніж на 10 відсотків у разі коливання ціни такого товару на ринку пального.</w:t>
      </w:r>
    </w:p>
    <w:p w:rsidR="00D52BCC" w:rsidRPr="00D52BCC" w:rsidRDefault="00D82EB5" w:rsidP="00D52BCC">
      <w:pPr>
        <w:tabs>
          <w:tab w:val="left" w:pos="10206"/>
        </w:tabs>
        <w:spacing w:line="240" w:lineRule="auto"/>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2</w:t>
      </w:r>
      <w:r w:rsidR="00D52BCC" w:rsidRPr="00D52BCC">
        <w:rPr>
          <w:rFonts w:ascii="Times New Roman" w:eastAsia="Calibri" w:hAnsi="Times New Roman" w:cs="Times New Roman"/>
          <w:color w:val="000000"/>
          <w:sz w:val="24"/>
          <w:szCs w:val="24"/>
          <w:lang w:val="uk-UA" w:eastAsia="en-US"/>
        </w:rPr>
        <w:t>.5. В ціну Товару включається податок на додану вартість та ціна (вартість) зберігання Товару.</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B2A07" w:rsidRDefault="005C570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8F457C" w:rsidRPr="008F457C" w:rsidRDefault="00861E1B" w:rsidP="00861E1B">
      <w:pPr>
        <w:widowControl w:val="0"/>
        <w:spacing w:line="240" w:lineRule="auto"/>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3.1.</w:t>
      </w:r>
      <w:r w:rsidR="008F457C" w:rsidRPr="008F457C">
        <w:rPr>
          <w:rFonts w:ascii="Times New Roman" w:hAnsi="Times New Roman" w:cs="Times New Roman"/>
          <w:snapToGrid w:val="0"/>
          <w:sz w:val="24"/>
          <w:szCs w:val="24"/>
          <w:lang w:val="uk-UA"/>
        </w:rPr>
        <w:t>Оплата Товару здійснюється Замовником шляхом перерахування коштів на вказані в рахунку-фактурі реквізити Учасника.</w:t>
      </w:r>
    </w:p>
    <w:p w:rsidR="008F457C" w:rsidRPr="008F457C" w:rsidRDefault="008F457C" w:rsidP="008F457C">
      <w:pPr>
        <w:widowControl w:val="0"/>
        <w:spacing w:line="240" w:lineRule="auto"/>
        <w:rPr>
          <w:rFonts w:ascii="Times New Roman" w:hAnsi="Times New Roman" w:cs="Times New Roman"/>
          <w:snapToGrid w:val="0"/>
          <w:sz w:val="24"/>
          <w:szCs w:val="24"/>
          <w:lang w:val="uk-UA"/>
        </w:rPr>
      </w:pPr>
      <w:r w:rsidRPr="008F457C">
        <w:rPr>
          <w:rFonts w:ascii="Times New Roman" w:hAnsi="Times New Roman" w:cs="Times New Roman"/>
          <w:snapToGrid w:val="0"/>
          <w:sz w:val="24"/>
          <w:szCs w:val="24"/>
          <w:lang w:val="uk-UA"/>
        </w:rPr>
        <w:t xml:space="preserve">Постачальник звільняється від своїх обов’язків стосовно партії товару оплата якої здійснена на інші реквізити.  </w:t>
      </w:r>
    </w:p>
    <w:p w:rsidR="008F457C" w:rsidRPr="008F457C" w:rsidRDefault="00861E1B" w:rsidP="00861E1B">
      <w:pPr>
        <w:widowControl w:val="0"/>
        <w:spacing w:line="240" w:lineRule="auto"/>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3.2.</w:t>
      </w:r>
      <w:r w:rsidR="008F457C" w:rsidRPr="008F457C">
        <w:rPr>
          <w:rFonts w:ascii="Times New Roman" w:hAnsi="Times New Roman" w:cs="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рахунок Учасника в день виписки рахунку-фактури та накладної на Товар. Ціна одного літру товару вказується у рахунку-фактурі та накладній і дійсна тільки протягом дня їх виписки.</w:t>
      </w:r>
    </w:p>
    <w:p w:rsidR="008F457C" w:rsidRPr="008F457C" w:rsidRDefault="00861E1B" w:rsidP="00861E1B">
      <w:pPr>
        <w:widowControl w:val="0"/>
        <w:spacing w:line="240" w:lineRule="auto"/>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3.3.</w:t>
      </w:r>
      <w:r w:rsidR="008F457C" w:rsidRPr="008F457C">
        <w:rPr>
          <w:rFonts w:ascii="Times New Roman" w:hAnsi="Times New Roman" w:cs="Times New Roman"/>
          <w:snapToGrid w:val="0"/>
          <w:sz w:val="24"/>
          <w:szCs w:val="24"/>
          <w:lang w:val="uk-UA"/>
        </w:rPr>
        <w:t>У разі відмови Замовника від оплати Товару згідно умов, передбачених Договором, зобов’язання Учасника припиняються у частині несплаченого Товару.</w:t>
      </w:r>
    </w:p>
    <w:p w:rsidR="008F457C" w:rsidRPr="008F457C" w:rsidRDefault="00861E1B" w:rsidP="00861E1B">
      <w:pPr>
        <w:widowControl w:val="0"/>
        <w:spacing w:line="240" w:lineRule="auto"/>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3.4.</w:t>
      </w:r>
      <w:r w:rsidR="008F457C" w:rsidRPr="008F457C">
        <w:rPr>
          <w:rFonts w:ascii="Times New Roman" w:hAnsi="Times New Roman" w:cs="Times New Roman"/>
          <w:snapToGrid w:val="0"/>
          <w:sz w:val="24"/>
          <w:szCs w:val="24"/>
          <w:lang w:val="uk-UA"/>
        </w:rPr>
        <w:t>Умови договору відповідають умовам тендерної пропозиції.</w:t>
      </w:r>
    </w:p>
    <w:p w:rsidR="00CB2A07" w:rsidRDefault="005C570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667BB2" w:rsidRPr="00667BB2" w:rsidRDefault="00861E1B" w:rsidP="00861E1B">
      <w:pPr>
        <w:widowControl w:val="0"/>
        <w:spacing w:line="240" w:lineRule="auto"/>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4.1.</w:t>
      </w:r>
      <w:r w:rsidR="00667BB2" w:rsidRPr="00667BB2">
        <w:rPr>
          <w:rFonts w:ascii="Times New Roman" w:hAnsi="Times New Roman" w:cs="Times New Roman"/>
          <w:snapToGrid w:val="0"/>
          <w:sz w:val="24"/>
          <w:szCs w:val="24"/>
          <w:lang w:val="uk-UA"/>
        </w:rPr>
        <w:t xml:space="preserve">Строк поставки товарів - </w:t>
      </w:r>
      <w:bookmarkStart w:id="0" w:name="57"/>
      <w:bookmarkEnd w:id="0"/>
      <w:r w:rsidR="00667BB2" w:rsidRPr="00667BB2">
        <w:rPr>
          <w:rFonts w:ascii="Times New Roman" w:hAnsi="Times New Roman" w:cs="Times New Roman"/>
          <w:snapToGrid w:val="0"/>
          <w:sz w:val="24"/>
          <w:szCs w:val="24"/>
          <w:lang w:val="uk-UA"/>
        </w:rPr>
        <w:t>до закінчення терміну дії довірчого документу.</w:t>
      </w:r>
    </w:p>
    <w:p w:rsidR="00667BB2" w:rsidRDefault="00861E1B" w:rsidP="00861E1B">
      <w:pPr>
        <w:widowControl w:val="0"/>
        <w:spacing w:line="240" w:lineRule="auto"/>
        <w:jc w:val="both"/>
        <w:rPr>
          <w:rFonts w:ascii="Times New Roman" w:hAnsi="Times New Roman" w:cs="Times New Roman"/>
          <w:snapToGrid w:val="0"/>
          <w:sz w:val="24"/>
          <w:szCs w:val="24"/>
          <w:lang w:val="uk-UA"/>
        </w:rPr>
      </w:pPr>
      <w:bookmarkStart w:id="1" w:name="58"/>
      <w:bookmarkEnd w:id="1"/>
      <w:r>
        <w:rPr>
          <w:rFonts w:ascii="Times New Roman" w:hAnsi="Times New Roman" w:cs="Times New Roman"/>
          <w:snapToGrid w:val="0"/>
          <w:sz w:val="24"/>
          <w:szCs w:val="24"/>
          <w:lang w:val="uk-UA"/>
        </w:rPr>
        <w:t>4.1.1</w:t>
      </w:r>
      <w:r w:rsidR="00667BB2" w:rsidRPr="00667BB2">
        <w:rPr>
          <w:rFonts w:ascii="Times New Roman" w:hAnsi="Times New Roman" w:cs="Times New Roman"/>
          <w:snapToGrid w:val="0"/>
          <w:sz w:val="24"/>
          <w:szCs w:val="24"/>
          <w:lang w:val="uk-UA"/>
        </w:rPr>
        <w:t xml:space="preserve">Місце поставки (передачі) товарів: </w:t>
      </w:r>
      <w:r w:rsidR="00392564">
        <w:rPr>
          <w:rFonts w:ascii="Times New Roman" w:hAnsi="Times New Roman" w:cs="Times New Roman"/>
          <w:snapToGrid w:val="0"/>
          <w:sz w:val="24"/>
          <w:szCs w:val="24"/>
          <w:lang w:val="uk-UA"/>
        </w:rPr>
        <w:t>АЗС що знаходиться на території</w:t>
      </w:r>
      <w:r w:rsidR="00667BB2" w:rsidRPr="00667BB2">
        <w:rPr>
          <w:rFonts w:ascii="Times New Roman" w:hAnsi="Times New Roman" w:cs="Times New Roman"/>
          <w:snapToGrid w:val="0"/>
          <w:sz w:val="24"/>
          <w:szCs w:val="24"/>
          <w:lang w:val="uk-UA"/>
        </w:rPr>
        <w:t>, м.Жмеринка</w:t>
      </w:r>
      <w:r w:rsidR="00392564">
        <w:rPr>
          <w:rFonts w:ascii="Times New Roman" w:hAnsi="Times New Roman" w:cs="Times New Roman"/>
          <w:snapToGrid w:val="0"/>
          <w:sz w:val="24"/>
          <w:szCs w:val="24"/>
          <w:lang w:val="uk-UA"/>
        </w:rPr>
        <w:t>, Вінницької області.</w:t>
      </w:r>
    </w:p>
    <w:p w:rsidR="00667BB2" w:rsidRPr="00667BB2" w:rsidRDefault="00861E1B" w:rsidP="00861E1B">
      <w:pPr>
        <w:widowControl w:val="0"/>
        <w:spacing w:line="240" w:lineRule="auto"/>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lastRenderedPageBreak/>
        <w:t>4.1.2</w:t>
      </w:r>
      <w:r w:rsidR="00667BB2" w:rsidRPr="00667BB2">
        <w:rPr>
          <w:rFonts w:ascii="Times New Roman" w:hAnsi="Times New Roman" w:cs="Times New Roman"/>
          <w:snapToGrid w:val="0"/>
          <w:sz w:val="24"/>
          <w:szCs w:val="24"/>
          <w:lang w:val="uk-UA"/>
        </w:rPr>
        <w:t xml:space="preserve">Передача Замовнику товару за цім Договором здійснюється Учасником на АЗС шляхом заправки автомобілів Замовника при пред’явленні довіреними особами Замовника </w:t>
      </w:r>
      <w:proofErr w:type="spellStart"/>
      <w:r w:rsidR="00667BB2" w:rsidRPr="00667BB2">
        <w:rPr>
          <w:rFonts w:ascii="Times New Roman" w:hAnsi="Times New Roman" w:cs="Times New Roman"/>
          <w:snapToGrid w:val="0"/>
          <w:sz w:val="24"/>
          <w:szCs w:val="24"/>
          <w:lang w:val="uk-UA"/>
        </w:rPr>
        <w:t>скретч</w:t>
      </w:r>
      <w:proofErr w:type="spellEnd"/>
      <w:r w:rsidR="00667BB2" w:rsidRPr="00667BB2">
        <w:rPr>
          <w:rFonts w:ascii="Times New Roman" w:hAnsi="Times New Roman" w:cs="Times New Roman"/>
          <w:snapToGrid w:val="0"/>
          <w:sz w:val="24"/>
          <w:szCs w:val="24"/>
          <w:lang w:val="uk-UA"/>
        </w:rPr>
        <w:t>-карт.</w:t>
      </w:r>
    </w:p>
    <w:p w:rsidR="00667BB2" w:rsidRPr="00667BB2" w:rsidRDefault="00861E1B" w:rsidP="00861E1B">
      <w:pPr>
        <w:widowControl w:val="0"/>
        <w:spacing w:line="240" w:lineRule="auto"/>
        <w:jc w:val="both"/>
        <w:rPr>
          <w:rFonts w:ascii="Times New Roman" w:hAnsi="Times New Roman" w:cs="Times New Roman"/>
          <w:snapToGrid w:val="0"/>
          <w:sz w:val="24"/>
          <w:szCs w:val="24"/>
          <w:lang w:val="uk-UA"/>
        </w:rPr>
      </w:pPr>
      <w:bookmarkStart w:id="2" w:name="61"/>
      <w:bookmarkEnd w:id="2"/>
      <w:r>
        <w:rPr>
          <w:rFonts w:ascii="Times New Roman" w:hAnsi="Times New Roman" w:cs="Times New Roman"/>
          <w:snapToGrid w:val="0"/>
          <w:sz w:val="24"/>
          <w:szCs w:val="24"/>
          <w:lang w:val="uk-UA"/>
        </w:rPr>
        <w:t>4.1.3</w:t>
      </w:r>
      <w:r w:rsidR="00667BB2" w:rsidRPr="00667BB2">
        <w:rPr>
          <w:rFonts w:ascii="Times New Roman" w:hAnsi="Times New Roman" w:cs="Times New Roman"/>
          <w:snapToGrid w:val="0"/>
          <w:sz w:val="24"/>
          <w:szCs w:val="24"/>
          <w:lang w:val="uk-UA"/>
        </w:rPr>
        <w:t xml:space="preserve">Скретч-карта є підставою для видачі (заправки) з АЗС вказаного у карті об’єму і марки товару, після чого всі обов’язки сторін по погашених </w:t>
      </w:r>
      <w:proofErr w:type="spellStart"/>
      <w:r w:rsidR="00667BB2" w:rsidRPr="00667BB2">
        <w:rPr>
          <w:rFonts w:ascii="Times New Roman" w:hAnsi="Times New Roman" w:cs="Times New Roman"/>
          <w:snapToGrid w:val="0"/>
          <w:sz w:val="24"/>
          <w:szCs w:val="24"/>
          <w:lang w:val="uk-UA"/>
        </w:rPr>
        <w:t>скретч</w:t>
      </w:r>
      <w:proofErr w:type="spellEnd"/>
      <w:r w:rsidR="00667BB2" w:rsidRPr="00667BB2">
        <w:rPr>
          <w:rFonts w:ascii="Times New Roman" w:hAnsi="Times New Roman" w:cs="Times New Roman"/>
          <w:snapToGrid w:val="0"/>
          <w:sz w:val="24"/>
          <w:szCs w:val="24"/>
          <w:lang w:val="uk-UA"/>
        </w:rPr>
        <w:t xml:space="preserve">-картах вважаються виконаними, при цьому Учасник не може передати Замовнику товар іншої марки чи в кількості меншій, ніж зазначено в </w:t>
      </w:r>
      <w:proofErr w:type="spellStart"/>
      <w:r w:rsidR="00667BB2" w:rsidRPr="00667BB2">
        <w:rPr>
          <w:rFonts w:ascii="Times New Roman" w:hAnsi="Times New Roman" w:cs="Times New Roman"/>
          <w:snapToGrid w:val="0"/>
          <w:sz w:val="24"/>
          <w:szCs w:val="24"/>
          <w:lang w:val="uk-UA"/>
        </w:rPr>
        <w:t>скретч</w:t>
      </w:r>
      <w:proofErr w:type="spellEnd"/>
      <w:r w:rsidR="00667BB2" w:rsidRPr="00667BB2">
        <w:rPr>
          <w:rFonts w:ascii="Times New Roman" w:hAnsi="Times New Roman" w:cs="Times New Roman"/>
          <w:snapToGrid w:val="0"/>
          <w:sz w:val="24"/>
          <w:szCs w:val="24"/>
          <w:lang w:val="uk-UA"/>
        </w:rPr>
        <w:t>-карті.</w:t>
      </w:r>
    </w:p>
    <w:p w:rsidR="00667BB2" w:rsidRPr="00667BB2" w:rsidRDefault="00861E1B" w:rsidP="00861E1B">
      <w:pPr>
        <w:widowControl w:val="0"/>
        <w:spacing w:line="240" w:lineRule="auto"/>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4.2.</w:t>
      </w:r>
      <w:r w:rsidR="00667BB2" w:rsidRPr="00667BB2">
        <w:rPr>
          <w:rFonts w:ascii="Times New Roman" w:hAnsi="Times New Roman" w:cs="Times New Roman"/>
          <w:snapToGrid w:val="0"/>
          <w:sz w:val="24"/>
          <w:szCs w:val="24"/>
          <w:lang w:val="uk-UA"/>
        </w:rPr>
        <w:t xml:space="preserve">Умови постачання Товару – </w:t>
      </w:r>
      <w:proofErr w:type="spellStart"/>
      <w:r w:rsidR="00667BB2" w:rsidRPr="00667BB2">
        <w:rPr>
          <w:rFonts w:ascii="Times New Roman" w:hAnsi="Times New Roman" w:cs="Times New Roman"/>
          <w:snapToGrid w:val="0"/>
          <w:sz w:val="24"/>
          <w:szCs w:val="24"/>
          <w:lang w:val="uk-UA"/>
        </w:rPr>
        <w:t>самовивезення</w:t>
      </w:r>
      <w:proofErr w:type="spellEnd"/>
      <w:r w:rsidR="00667BB2" w:rsidRPr="00667BB2">
        <w:rPr>
          <w:rFonts w:ascii="Times New Roman" w:hAnsi="Times New Roman" w:cs="Times New Roman"/>
          <w:snapToGrid w:val="0"/>
          <w:sz w:val="24"/>
          <w:szCs w:val="24"/>
          <w:lang w:val="uk-UA"/>
        </w:rPr>
        <w:t>. Замовник зобов’язується отримати Товар на АЗС до закінчення терміну дії довірчого документу який зазначений на довірчому документі.</w:t>
      </w:r>
    </w:p>
    <w:p w:rsidR="00CB2A07" w:rsidRDefault="005C5707" w:rsidP="004743F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CB2A07" w:rsidRPr="004743F6" w:rsidRDefault="003600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6</w:t>
      </w:r>
      <w:r w:rsidR="005C5707" w:rsidRPr="004743F6">
        <w:rPr>
          <w:rFonts w:ascii="Times New Roman" w:eastAsia="Times New Roman" w:hAnsi="Times New Roman" w:cs="Times New Roman"/>
          <w:b/>
          <w:sz w:val="24"/>
          <w:szCs w:val="24"/>
        </w:rPr>
        <w:t>. ПРАВА ТА ОБОВ'ЯЗКИ СТОРІН</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 xml:space="preserve">6.1. Покупець зобов'язаний: </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6.1.1. Своєчасно та в повному обсязі сплачувати за поставлений Товар;</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 xml:space="preserve">6.1.2. Отримати Товар в обмін на талон до закінчення терміну (строку) дії талону; </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 xml:space="preserve">6.1.3. Прийняти згідно накладної талони на Товар та передати Товар на зберігання Продавцю. </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 xml:space="preserve">6.2. Покупець має право: </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 xml:space="preserve">6.2.1. Достроково розірвати цей Договір у разі невиконання зобов'язань Продавцем, повідомивши про це його у строк 5 робочих днів до розірвання Договору; </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6.2.2. Контролювати поставку Товару у строки, встановлені цим Договором;</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6.2.3. Контролювати якість Товару, звертатися за підтвердженням якості Товару до державних компетентних органів або експертних установ та здійснити перевірку якісних показників на будь якій із АЗС Продавця</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 xml:space="preserve">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 xml:space="preserve">6.3. Продавець зобов'язаний: </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6.3.1. Забезпечити поставку Товару у строки, встановлені цим Договором;</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6.3.2. Забезпечити поставку Товару, якість яких відповідає умовам, установленим розділом II цього Договору;</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6.3.3. При виявленні Покупцем дефектів бланків паливних талонів, будь-чого іншого, що може вплинути на якісні та кількісні характеристики нафтопродуктів Продавець  має замінити такі талони протягом п’яти робочих днів з дня звернення Покупця.</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6.3.4. Забезпечити належне зберігання Товару на власних АЗС або АЗС партнерів.</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 xml:space="preserve">6.4. Продавець має право: </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 xml:space="preserve">6.4.1. Своєчасно та в повному обсязі отримувати плату за поставлені товари; </w:t>
      </w:r>
    </w:p>
    <w:p w:rsidR="004743F6" w:rsidRPr="004743F6" w:rsidRDefault="004743F6" w:rsidP="004743F6">
      <w:pPr>
        <w:tabs>
          <w:tab w:val="left" w:pos="10206"/>
        </w:tabs>
        <w:spacing w:line="240" w:lineRule="auto"/>
        <w:jc w:val="both"/>
        <w:rPr>
          <w:rFonts w:ascii="Times New Roman" w:eastAsia="Calibri" w:hAnsi="Times New Roman" w:cs="Times New Roman"/>
          <w:color w:val="000000"/>
          <w:sz w:val="24"/>
          <w:szCs w:val="24"/>
          <w:lang w:val="uk-UA" w:eastAsia="en-US"/>
        </w:rPr>
      </w:pPr>
      <w:r w:rsidRPr="004743F6">
        <w:rPr>
          <w:rFonts w:ascii="Times New Roman" w:eastAsia="Calibri" w:hAnsi="Times New Roman" w:cs="Times New Roman"/>
          <w:color w:val="000000"/>
          <w:sz w:val="24"/>
          <w:szCs w:val="24"/>
          <w:lang w:val="uk-UA" w:eastAsia="en-US"/>
        </w:rPr>
        <w:t xml:space="preserve">6.4.2. На дострокову поставку товарів за письмовим погодженням Покупця; </w:t>
      </w:r>
    </w:p>
    <w:p w:rsidR="004743F6" w:rsidRPr="004743F6" w:rsidRDefault="004743F6" w:rsidP="004743F6">
      <w:pPr>
        <w:tabs>
          <w:tab w:val="left" w:pos="10206"/>
        </w:tabs>
        <w:spacing w:line="240" w:lineRule="auto"/>
        <w:jc w:val="both"/>
        <w:rPr>
          <w:rFonts w:ascii="Times New Roman" w:eastAsia="Calibri" w:hAnsi="Times New Roman" w:cs="Times New Roman"/>
          <w:sz w:val="24"/>
          <w:szCs w:val="24"/>
          <w:lang w:val="uk-UA" w:eastAsia="en-US"/>
        </w:rPr>
      </w:pPr>
      <w:r w:rsidRPr="004743F6">
        <w:rPr>
          <w:rFonts w:ascii="Times New Roman" w:eastAsia="Calibri" w:hAnsi="Times New Roman" w:cs="Times New Roman"/>
          <w:color w:val="000000"/>
          <w:sz w:val="24"/>
          <w:szCs w:val="24"/>
          <w:lang w:val="uk-UA" w:eastAsia="en-US"/>
        </w:rPr>
        <w:t xml:space="preserve">6.4.3. У разі невиконання зобов'язань Покупцем Продавець має право достроково розірвати цей Договір, повідомивши про це Покупця у строк 5 робочих днів до розірвання Договору. </w:t>
      </w:r>
    </w:p>
    <w:p w:rsidR="00CB2A07" w:rsidRDefault="003600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7</w:t>
      </w:r>
      <w:r w:rsidR="005C5707">
        <w:rPr>
          <w:rFonts w:ascii="Times New Roman" w:eastAsia="Times New Roman" w:hAnsi="Times New Roman" w:cs="Times New Roman"/>
          <w:b/>
          <w:sz w:val="24"/>
          <w:szCs w:val="24"/>
        </w:rPr>
        <w:t>. ВІДПОВІДАЛЬНІСТЬ СТОРІН ЗА ПОРУШЕННЯ УМОВ ДОГОВОРУ</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5C5707">
        <w:rPr>
          <w:rFonts w:ascii="Times New Roman" w:eastAsia="Times New Roman" w:hAnsi="Times New Roman" w:cs="Times New Roman"/>
          <w:sz w:val="24"/>
          <w:szCs w:val="24"/>
        </w:rPr>
        <w:t>.1.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7</w:t>
      </w:r>
      <w:r w:rsidR="005C5707">
        <w:rPr>
          <w:rFonts w:ascii="Times New Roman" w:eastAsia="Times New Roman" w:hAnsi="Times New Roman" w:cs="Times New Roman"/>
          <w:sz w:val="24"/>
          <w:szCs w:val="24"/>
        </w:rPr>
        <w:t xml:space="preserve">.2.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5C5707">
        <w:rPr>
          <w:rFonts w:ascii="Times New Roman" w:eastAsia="Times New Roman" w:hAnsi="Times New Roman" w:cs="Times New Roman"/>
          <w:sz w:val="24"/>
          <w:szCs w:val="24"/>
        </w:rPr>
        <w:t>.3. Сплата штрафу не звільняє Постачальника від обов’язку замінити неякісне Паливо на належне у випадках, визначених цим Договором.</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5C5707">
        <w:rPr>
          <w:rFonts w:ascii="Times New Roman" w:eastAsia="Times New Roman" w:hAnsi="Times New Roman" w:cs="Times New Roman"/>
          <w:sz w:val="24"/>
          <w:szCs w:val="24"/>
        </w:rPr>
        <w:t xml:space="preserve">.4. За порушення строків поставки Палива або недопоставку Палива Постачальник сплачує Покупцю пеню в розмірі 0,1 відсотка вартості Палива, поставку якого </w:t>
      </w:r>
      <w:proofErr w:type="spellStart"/>
      <w:r w:rsidR="005C5707">
        <w:rPr>
          <w:rFonts w:ascii="Times New Roman" w:eastAsia="Times New Roman" w:hAnsi="Times New Roman" w:cs="Times New Roman"/>
          <w:sz w:val="24"/>
          <w:szCs w:val="24"/>
        </w:rPr>
        <w:t>прострочено</w:t>
      </w:r>
      <w:proofErr w:type="spellEnd"/>
      <w:r w:rsidR="005C5707">
        <w:rPr>
          <w:rFonts w:ascii="Times New Roman" w:eastAsia="Times New Roman" w:hAnsi="Times New Roman" w:cs="Times New Roman"/>
          <w:sz w:val="24"/>
          <w:szCs w:val="24"/>
        </w:rPr>
        <w:t xml:space="preserve"> та/або </w:t>
      </w:r>
      <w:proofErr w:type="spellStart"/>
      <w:r w:rsidR="005C5707">
        <w:rPr>
          <w:rFonts w:ascii="Times New Roman" w:eastAsia="Times New Roman" w:hAnsi="Times New Roman" w:cs="Times New Roman"/>
          <w:sz w:val="24"/>
          <w:szCs w:val="24"/>
        </w:rPr>
        <w:t>недопоставлено</w:t>
      </w:r>
      <w:proofErr w:type="spellEnd"/>
      <w:r w:rsidR="005C5707">
        <w:rPr>
          <w:rFonts w:ascii="Times New Roman" w:eastAsia="Times New Roman" w:hAnsi="Times New Roman" w:cs="Times New Roman"/>
          <w:sz w:val="24"/>
          <w:szCs w:val="24"/>
        </w:rPr>
        <w:t xml:space="preserve">,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w:t>
      </w:r>
      <w:proofErr w:type="spellStart"/>
      <w:r w:rsidR="005C5707">
        <w:rPr>
          <w:rFonts w:ascii="Times New Roman" w:eastAsia="Times New Roman" w:hAnsi="Times New Roman" w:cs="Times New Roman"/>
          <w:sz w:val="24"/>
          <w:szCs w:val="24"/>
        </w:rPr>
        <w:t>прострочено</w:t>
      </w:r>
      <w:proofErr w:type="spellEnd"/>
      <w:r w:rsidR="005C5707">
        <w:rPr>
          <w:rFonts w:ascii="Times New Roman" w:eastAsia="Times New Roman" w:hAnsi="Times New Roman" w:cs="Times New Roman"/>
          <w:sz w:val="24"/>
          <w:szCs w:val="24"/>
        </w:rPr>
        <w:t>.</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5C5707">
        <w:rPr>
          <w:rFonts w:ascii="Times New Roman" w:eastAsia="Times New Roman" w:hAnsi="Times New Roman" w:cs="Times New Roman"/>
          <w:sz w:val="24"/>
          <w:szCs w:val="24"/>
        </w:rPr>
        <w:t>.5.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5C5707">
        <w:rPr>
          <w:rFonts w:ascii="Times New Roman" w:eastAsia="Times New Roman" w:hAnsi="Times New Roman" w:cs="Times New Roman"/>
          <w:sz w:val="24"/>
          <w:szCs w:val="24"/>
        </w:rPr>
        <w:t>.6. Оплата штрафних санкцій не звільняє винну Сторону від обов’язку виконати всі свої зобов’язання за цим Договором.</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5C5707">
        <w:rPr>
          <w:rFonts w:ascii="Times New Roman" w:eastAsia="Times New Roman" w:hAnsi="Times New Roman" w:cs="Times New Roman"/>
          <w:sz w:val="24"/>
          <w:szCs w:val="24"/>
        </w:rPr>
        <w:t>.7. Одностороння відмова від виконання зобов’язань за договором не допускається, крім випадків, передбачених цим Договором.</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5C5707">
        <w:rPr>
          <w:rFonts w:ascii="Times New Roman" w:eastAsia="Times New Roman" w:hAnsi="Times New Roman" w:cs="Times New Roman"/>
          <w:sz w:val="24"/>
          <w:szCs w:val="24"/>
        </w:rPr>
        <w:t>.8.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CB2A07" w:rsidRDefault="003600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8</w:t>
      </w:r>
      <w:r w:rsidR="005C5707">
        <w:rPr>
          <w:rFonts w:ascii="Times New Roman" w:eastAsia="Times New Roman" w:hAnsi="Times New Roman" w:cs="Times New Roman"/>
          <w:b/>
          <w:sz w:val="24"/>
          <w:szCs w:val="24"/>
        </w:rPr>
        <w:t>. ВИРІШЕННЯ СПОРІВ</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w:t>
      </w:r>
      <w:r w:rsidR="005C5707">
        <w:rPr>
          <w:rFonts w:ascii="Times New Roman" w:eastAsia="Times New Roman" w:hAnsi="Times New Roman" w:cs="Times New Roman"/>
          <w:sz w:val="24"/>
          <w:szCs w:val="24"/>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w:t>
      </w:r>
      <w:r w:rsidR="005C5707">
        <w:rPr>
          <w:rFonts w:ascii="Times New Roman" w:eastAsia="Times New Roman" w:hAnsi="Times New Roman" w:cs="Times New Roman"/>
          <w:sz w:val="24"/>
          <w:szCs w:val="24"/>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CB2A07" w:rsidRDefault="003600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9</w:t>
      </w:r>
      <w:r w:rsidR="005C5707">
        <w:rPr>
          <w:rFonts w:ascii="Times New Roman" w:eastAsia="Times New Roman" w:hAnsi="Times New Roman" w:cs="Times New Roman"/>
          <w:b/>
          <w:sz w:val="24"/>
          <w:szCs w:val="24"/>
        </w:rPr>
        <w:t>. ОБСТАВИНИ НЕПЕРЕБОРНОЇ СИЛИ</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w:t>
      </w:r>
      <w:r w:rsidR="005C5707">
        <w:rPr>
          <w:rFonts w:ascii="Times New Roman" w:eastAsia="Times New Roman" w:hAnsi="Times New Roman" w:cs="Times New Roman"/>
          <w:sz w:val="24"/>
          <w:szCs w:val="24"/>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w:t>
      </w:r>
      <w:r w:rsidR="005C5707">
        <w:rPr>
          <w:rFonts w:ascii="Times New Roman" w:eastAsia="Times New Roman" w:hAnsi="Times New Roman" w:cs="Times New Roman"/>
          <w:sz w:val="24"/>
          <w:szCs w:val="24"/>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w:t>
      </w:r>
      <w:r w:rsidR="005C5707">
        <w:rPr>
          <w:rFonts w:ascii="Times New Roman" w:eastAsia="Times New Roman" w:hAnsi="Times New Roman" w:cs="Times New Roman"/>
          <w:sz w:val="24"/>
          <w:szCs w:val="24"/>
        </w:rPr>
        <w:t xml:space="preserve">.3.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5C5707">
        <w:rPr>
          <w:rFonts w:ascii="Times New Roman" w:eastAsia="Times New Roman" w:hAnsi="Times New Roman" w:cs="Times New Roman"/>
          <w:sz w:val="24"/>
          <w:szCs w:val="24"/>
        </w:rPr>
        <w:t>проток</w:t>
      </w:r>
      <w:proofErr w:type="spellEnd"/>
      <w:r w:rsidR="005C5707">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5C5707">
        <w:rPr>
          <w:rFonts w:ascii="Times New Roman" w:eastAsia="Times New Roman" w:hAnsi="Times New Roman" w:cs="Times New Roman"/>
          <w:sz w:val="24"/>
          <w:szCs w:val="24"/>
        </w:rPr>
        <w:t>проток</w:t>
      </w:r>
      <w:proofErr w:type="spellEnd"/>
      <w:r w:rsidR="005C5707">
        <w:rPr>
          <w:rFonts w:ascii="Times New Roman" w:eastAsia="Times New Roman" w:hAnsi="Times New Roman" w:cs="Times New Roman"/>
          <w:sz w:val="24"/>
          <w:szCs w:val="24"/>
        </w:rPr>
        <w:t xml:space="preserve">, портів, перевалів, землетрус, блискавка, пожежа, </w:t>
      </w:r>
      <w:r w:rsidR="005C5707">
        <w:rPr>
          <w:rFonts w:ascii="Times New Roman" w:eastAsia="Times New Roman" w:hAnsi="Times New Roman" w:cs="Times New Roman"/>
          <w:sz w:val="24"/>
          <w:szCs w:val="24"/>
        </w:rPr>
        <w:lastRenderedPageBreak/>
        <w:t>посуха, просідання і зсув ґрунту, інші стихійні лиха, а також інші події та обставини, які знаходяться поза контролем відповідної Сторони.</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w:t>
      </w:r>
      <w:r w:rsidR="005C5707">
        <w:rPr>
          <w:rFonts w:ascii="Times New Roman" w:eastAsia="Times New Roman" w:hAnsi="Times New Roman" w:cs="Times New Roman"/>
          <w:sz w:val="24"/>
          <w:szCs w:val="24"/>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w:t>
      </w:r>
      <w:r w:rsidR="005C5707">
        <w:rPr>
          <w:rFonts w:ascii="Times New Roman" w:eastAsia="Times New Roman" w:hAnsi="Times New Roman" w:cs="Times New Roman"/>
          <w:sz w:val="24"/>
          <w:szCs w:val="24"/>
        </w:rPr>
        <w:t>.5.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w:t>
      </w:r>
      <w:r w:rsidR="005C5707">
        <w:rPr>
          <w:rFonts w:ascii="Times New Roman" w:eastAsia="Times New Roman" w:hAnsi="Times New Roman" w:cs="Times New Roman"/>
          <w:sz w:val="24"/>
          <w:szCs w:val="24"/>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w:t>
      </w:r>
      <w:r w:rsidR="005C5707">
        <w:rPr>
          <w:rFonts w:ascii="Times New Roman" w:eastAsia="Times New Roman" w:hAnsi="Times New Roman" w:cs="Times New Roman"/>
          <w:sz w:val="24"/>
          <w:szCs w:val="24"/>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CB2A07" w:rsidRDefault="00861E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w:t>
      </w:r>
      <w:r w:rsidR="005C5707">
        <w:rPr>
          <w:rFonts w:ascii="Times New Roman" w:eastAsia="Times New Roman" w:hAnsi="Times New Roman" w:cs="Times New Roman"/>
          <w:sz w:val="24"/>
          <w:szCs w:val="24"/>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CB2A07" w:rsidRDefault="005C570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60003">
        <w:rPr>
          <w:rFonts w:ascii="Times New Roman" w:eastAsia="Times New Roman" w:hAnsi="Times New Roman" w:cs="Times New Roman"/>
          <w:b/>
          <w:sz w:val="24"/>
          <w:szCs w:val="24"/>
          <w:lang w:val="uk-UA"/>
        </w:rPr>
        <w:t>0</w:t>
      </w:r>
      <w:r>
        <w:rPr>
          <w:rFonts w:ascii="Times New Roman" w:eastAsia="Times New Roman" w:hAnsi="Times New Roman" w:cs="Times New Roman"/>
          <w:b/>
          <w:sz w:val="24"/>
          <w:szCs w:val="24"/>
        </w:rPr>
        <w:t>. АНТИКОРУПЦІЙНІ ЗАСТЕРЕЖЕННЯ</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B2A07" w:rsidRDefault="005C570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60003">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rPr>
        <w:t>. ПОРЯДОК ЗДІЙСНЕННЯ ПОВІДОМЛЕННЯ СТОРІН</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w:t>
      </w:r>
      <w:r w:rsidR="002C0535">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CB2A07" w:rsidRDefault="003600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12.</w:t>
      </w:r>
      <w:r w:rsidR="005C5707">
        <w:rPr>
          <w:rFonts w:ascii="Times New Roman" w:eastAsia="Times New Roman" w:hAnsi="Times New Roman" w:cs="Times New Roman"/>
          <w:b/>
          <w:sz w:val="24"/>
          <w:szCs w:val="24"/>
        </w:rPr>
        <w:t xml:space="preserve"> ПОРЯДОК ПІДПИСАННЯ ДОКУМЕНТІВ ДО ДОГОВОРУ З ВИКОРИСТАННЯМ ЕЛЕКТРОННИХ ПІДПИСІВ</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w:t>
      </w:r>
      <w:r>
        <w:rPr>
          <w:rFonts w:ascii="Times New Roman" w:eastAsia="Times New Roman" w:hAnsi="Times New Roman" w:cs="Times New Roman"/>
          <w:sz w:val="24"/>
          <w:szCs w:val="24"/>
        </w:rPr>
        <w:lastRenderedPageBreak/>
        <w:t>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про розірвання (скасування) E-документа.</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CB2A07" w:rsidRDefault="005C570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60003">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rPr>
        <w:t>. ДІЯ ДОГОВОРУ</w:t>
      </w:r>
    </w:p>
    <w:p w:rsidR="00B80FA6" w:rsidRPr="00B80FA6" w:rsidRDefault="00B80FA6" w:rsidP="00B80FA6">
      <w:pPr>
        <w:tabs>
          <w:tab w:val="left" w:pos="10206"/>
        </w:tabs>
        <w:spacing w:line="240" w:lineRule="auto"/>
        <w:jc w:val="both"/>
        <w:rPr>
          <w:rFonts w:ascii="Times New Roman" w:eastAsia="Calibri" w:hAnsi="Times New Roman" w:cs="Times New Roman"/>
          <w:sz w:val="24"/>
          <w:szCs w:val="24"/>
          <w:lang w:val="uk-UA" w:eastAsia="en-US"/>
        </w:rPr>
      </w:pPr>
      <w:r w:rsidRPr="00B80FA6">
        <w:rPr>
          <w:rFonts w:ascii="Times New Roman" w:eastAsia="Calibri" w:hAnsi="Times New Roman" w:cs="Times New Roman"/>
          <w:sz w:val="24"/>
          <w:szCs w:val="24"/>
          <w:lang w:val="uk-UA" w:eastAsia="en-US"/>
        </w:rPr>
        <w:t>1</w:t>
      </w:r>
      <w:r w:rsidR="002C0535">
        <w:rPr>
          <w:rFonts w:ascii="Times New Roman" w:eastAsia="Calibri" w:hAnsi="Times New Roman" w:cs="Times New Roman"/>
          <w:sz w:val="24"/>
          <w:szCs w:val="24"/>
          <w:lang w:val="uk-UA" w:eastAsia="en-US"/>
        </w:rPr>
        <w:t>3</w:t>
      </w:r>
      <w:r w:rsidRPr="00B80FA6">
        <w:rPr>
          <w:rFonts w:ascii="Times New Roman" w:eastAsia="Calibri" w:hAnsi="Times New Roman" w:cs="Times New Roman"/>
          <w:sz w:val="24"/>
          <w:szCs w:val="24"/>
          <w:lang w:val="uk-UA" w:eastAsia="en-US"/>
        </w:rPr>
        <w:t>.1. Цей Договір набирає чинності з дня підписання і діє до 31.12.202</w:t>
      </w:r>
      <w:r w:rsidR="009664DB">
        <w:rPr>
          <w:rFonts w:ascii="Times New Roman" w:eastAsia="Calibri" w:hAnsi="Times New Roman" w:cs="Times New Roman"/>
          <w:sz w:val="24"/>
          <w:szCs w:val="24"/>
          <w:lang w:val="uk-UA" w:eastAsia="en-US"/>
        </w:rPr>
        <w:t>4</w:t>
      </w:r>
      <w:r w:rsidRPr="00B80FA6">
        <w:rPr>
          <w:rFonts w:ascii="Times New Roman" w:eastAsia="Calibri" w:hAnsi="Times New Roman" w:cs="Times New Roman"/>
          <w:sz w:val="24"/>
          <w:szCs w:val="24"/>
          <w:lang w:val="uk-UA" w:eastAsia="en-US"/>
        </w:rPr>
        <w:t xml:space="preserve"> р., а у частині взятих сторонами на себе зобов’язань – до повного їх виконання.</w:t>
      </w:r>
    </w:p>
    <w:p w:rsidR="00B80FA6" w:rsidRPr="00B80FA6" w:rsidRDefault="00B80FA6" w:rsidP="00B80FA6">
      <w:pPr>
        <w:tabs>
          <w:tab w:val="left" w:pos="10206"/>
        </w:tabs>
        <w:spacing w:line="240" w:lineRule="auto"/>
        <w:jc w:val="both"/>
        <w:rPr>
          <w:rFonts w:ascii="Times New Roman" w:eastAsia="Calibri" w:hAnsi="Times New Roman" w:cs="Times New Roman"/>
          <w:b/>
          <w:sz w:val="24"/>
          <w:szCs w:val="24"/>
          <w:lang w:val="uk-UA" w:eastAsia="en-US"/>
        </w:rPr>
      </w:pPr>
      <w:r w:rsidRPr="00B80FA6">
        <w:rPr>
          <w:rFonts w:ascii="Times New Roman" w:eastAsia="Calibri" w:hAnsi="Times New Roman" w:cs="Times New Roman"/>
          <w:sz w:val="24"/>
          <w:szCs w:val="24"/>
          <w:lang w:val="uk-UA" w:eastAsia="en-US"/>
        </w:rPr>
        <w:t>1</w:t>
      </w:r>
      <w:r w:rsidR="002C0535">
        <w:rPr>
          <w:rFonts w:ascii="Times New Roman" w:eastAsia="Calibri" w:hAnsi="Times New Roman" w:cs="Times New Roman"/>
          <w:sz w:val="24"/>
          <w:szCs w:val="24"/>
          <w:lang w:val="uk-UA" w:eastAsia="en-US"/>
        </w:rPr>
        <w:t>3</w:t>
      </w:r>
      <w:r w:rsidRPr="00B80FA6">
        <w:rPr>
          <w:rFonts w:ascii="Times New Roman" w:eastAsia="Calibri" w:hAnsi="Times New Roman" w:cs="Times New Roman"/>
          <w:sz w:val="24"/>
          <w:szCs w:val="24"/>
          <w:lang w:val="uk-UA" w:eastAsia="en-US"/>
        </w:rPr>
        <w:t>.2. Цей Договір укладається і підписується у двох примірниках, що мають однакову юридичну силу. </w:t>
      </w:r>
    </w:p>
    <w:p w:rsidR="00CB2A07" w:rsidRDefault="005C570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60003">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ПРИКІНЦЕВІ ПОЛОЖЕННЯ</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.6. Податковий статус постачальника та Покупця за цим Договором визначаються у розділі </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B2A07" w:rsidRDefault="005C5707" w:rsidP="002C0535">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C0535">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w:t>
      </w:r>
      <w:r>
        <w:rPr>
          <w:rFonts w:ascii="Times New Roman" w:eastAsia="Times New Roman" w:hAnsi="Times New Roman" w:cs="Times New Roman"/>
          <w:color w:val="222222"/>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CB2A07" w:rsidRDefault="005C5707">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CB2A07" w:rsidRDefault="005C5707">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CB2A07" w:rsidRDefault="005C5707">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2A07" w:rsidRDefault="005C5707">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CB2A07" w:rsidRDefault="00CB2A07">
      <w:pPr>
        <w:spacing w:line="240" w:lineRule="auto"/>
        <w:rPr>
          <w:rFonts w:ascii="Times New Roman" w:eastAsia="Times New Roman" w:hAnsi="Times New Roman" w:cs="Times New Roman"/>
          <w:sz w:val="24"/>
          <w:szCs w:val="24"/>
        </w:rPr>
      </w:pPr>
    </w:p>
    <w:p w:rsidR="00CB2A07" w:rsidRDefault="003600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15.</w:t>
      </w:r>
      <w:r w:rsidR="005C5707">
        <w:rPr>
          <w:rFonts w:ascii="Times New Roman" w:eastAsia="Times New Roman" w:hAnsi="Times New Roman" w:cs="Times New Roman"/>
          <w:b/>
          <w:sz w:val="24"/>
          <w:szCs w:val="24"/>
        </w:rPr>
        <w:t xml:space="preserve"> ДОДАТКИ, ЩО Є НЕВІД’ЄМНИМИ ЧАСТИНАМИ ДОГОВОРУ</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 Невід’ємною частиною цього Договору є:</w:t>
      </w:r>
    </w:p>
    <w:p w:rsidR="00CB2A07" w:rsidRDefault="005C57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0535">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.2.1. Специфікація (Додаток № 1);</w:t>
      </w:r>
    </w:p>
    <w:p w:rsidR="00CB2A07" w:rsidRDefault="005C5707">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2C0535">
        <w:rPr>
          <w:rFonts w:ascii="Times New Roman" w:eastAsia="Times New Roman" w:hAnsi="Times New Roman" w:cs="Times New Roman"/>
          <w:b/>
          <w:color w:val="222222"/>
          <w:sz w:val="24"/>
          <w:szCs w:val="24"/>
          <w:lang w:val="uk-UA"/>
        </w:rPr>
        <w:t>6</w:t>
      </w:r>
      <w:r>
        <w:rPr>
          <w:rFonts w:ascii="Times New Roman" w:eastAsia="Times New Roman" w:hAnsi="Times New Roman" w:cs="Times New Roman"/>
          <w:b/>
          <w:color w:val="222222"/>
          <w:sz w:val="24"/>
          <w:szCs w:val="24"/>
        </w:rPr>
        <w:t>. МІСЦЕЗНАХОДЖЕННЯ І РЕКВІЗИТИ СТОРІН</w:t>
      </w:r>
    </w:p>
    <w:tbl>
      <w:tblPr>
        <w:tblStyle w:val="affff0"/>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70"/>
      </w:tblGrid>
      <w:tr w:rsidR="00CB2A07">
        <w:trPr>
          <w:trHeight w:val="995"/>
        </w:trPr>
        <w:tc>
          <w:tcPr>
            <w:tcW w:w="4410" w:type="dxa"/>
            <w:tcBorders>
              <w:top w:val="nil"/>
              <w:left w:val="nil"/>
              <w:bottom w:val="nil"/>
              <w:right w:val="nil"/>
            </w:tcBorders>
            <w:tcMar>
              <w:top w:w="100" w:type="dxa"/>
              <w:left w:w="100" w:type="dxa"/>
              <w:bottom w:w="100" w:type="dxa"/>
              <w:right w:w="100" w:type="dxa"/>
            </w:tcMar>
          </w:tcPr>
          <w:p w:rsidR="00CB2A07" w:rsidRDefault="002C0535" w:rsidP="002C0535">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ПОКУПЕЦЬ</w:t>
            </w:r>
          </w:p>
          <w:p w:rsidR="002C0535" w:rsidRPr="00542864" w:rsidRDefault="002C0535" w:rsidP="002C0535">
            <w:pPr>
              <w:shd w:val="clear" w:color="auto" w:fill="FFFFFF"/>
              <w:spacing w:line="274" w:lineRule="exact"/>
              <w:ind w:left="10" w:right="-280"/>
              <w:jc w:val="both"/>
              <w:rPr>
                <w:rFonts w:ascii="Times New Roman" w:hAnsi="Times New Roman" w:cs="Times New Roman"/>
              </w:rPr>
            </w:pPr>
            <w:r w:rsidRPr="00542864">
              <w:rPr>
                <w:rFonts w:ascii="Times New Roman" w:hAnsi="Times New Roman" w:cs="Times New Roman"/>
                <w:b/>
                <w:bCs/>
                <w:spacing w:val="-1"/>
                <w:sz w:val="24"/>
                <w:szCs w:val="24"/>
                <w:lang w:val="uk-UA"/>
              </w:rPr>
              <w:t>КП «Жмеринкакомунсервіс»</w:t>
            </w:r>
          </w:p>
          <w:p w:rsidR="002C0535" w:rsidRPr="00542864" w:rsidRDefault="002C0535" w:rsidP="002C0535">
            <w:pPr>
              <w:shd w:val="clear" w:color="auto" w:fill="FFFFFF"/>
              <w:spacing w:line="274" w:lineRule="exact"/>
              <w:ind w:right="-280"/>
              <w:jc w:val="both"/>
              <w:rPr>
                <w:rFonts w:ascii="Times New Roman" w:hAnsi="Times New Roman" w:cs="Times New Roman"/>
              </w:rPr>
            </w:pPr>
            <w:r w:rsidRPr="00542864">
              <w:rPr>
                <w:rFonts w:ascii="Times New Roman" w:hAnsi="Times New Roman" w:cs="Times New Roman"/>
                <w:sz w:val="24"/>
                <w:szCs w:val="24"/>
                <w:lang w:val="uk-UA"/>
              </w:rPr>
              <w:t xml:space="preserve">23100, </w:t>
            </w:r>
            <w:r w:rsidRPr="00542864">
              <w:rPr>
                <w:rFonts w:ascii="Times New Roman" w:hAnsi="Times New Roman" w:cs="Times New Roman"/>
                <w:spacing w:val="-4"/>
                <w:sz w:val="24"/>
                <w:szCs w:val="24"/>
                <w:lang w:val="uk-UA"/>
              </w:rPr>
              <w:t>Вінницька обл.,</w:t>
            </w:r>
          </w:p>
          <w:p w:rsidR="002C0535" w:rsidRPr="00542864" w:rsidRDefault="002C0535" w:rsidP="002C0535">
            <w:pPr>
              <w:shd w:val="clear" w:color="auto" w:fill="FFFFFF"/>
              <w:spacing w:line="274" w:lineRule="exact"/>
              <w:ind w:right="-280"/>
              <w:jc w:val="both"/>
              <w:rPr>
                <w:rFonts w:ascii="Times New Roman" w:hAnsi="Times New Roman" w:cs="Times New Roman"/>
                <w:sz w:val="24"/>
                <w:szCs w:val="24"/>
                <w:lang w:val="uk-UA"/>
              </w:rPr>
            </w:pPr>
            <w:r w:rsidRPr="00542864">
              <w:rPr>
                <w:rFonts w:ascii="Times New Roman" w:hAnsi="Times New Roman" w:cs="Times New Roman"/>
                <w:sz w:val="24"/>
                <w:szCs w:val="24"/>
                <w:lang w:val="uk-UA"/>
              </w:rPr>
              <w:t>м. Жмеринка, вул. Соборна, 10.</w:t>
            </w:r>
          </w:p>
          <w:p w:rsidR="002C0535" w:rsidRPr="00542864" w:rsidRDefault="002C0535" w:rsidP="002C0535">
            <w:pPr>
              <w:shd w:val="clear" w:color="auto" w:fill="FFFFFF"/>
              <w:spacing w:line="274" w:lineRule="exact"/>
              <w:ind w:right="-280"/>
              <w:jc w:val="both"/>
              <w:rPr>
                <w:rFonts w:ascii="Times New Roman" w:hAnsi="Times New Roman" w:cs="Times New Roman"/>
                <w:spacing w:val="-2"/>
                <w:sz w:val="24"/>
                <w:szCs w:val="24"/>
                <w:lang w:val="uk-UA"/>
              </w:rPr>
            </w:pPr>
            <w:r w:rsidRPr="00542864">
              <w:rPr>
                <w:rFonts w:ascii="Times New Roman" w:hAnsi="Times New Roman" w:cs="Times New Roman"/>
                <w:spacing w:val="-2"/>
                <w:sz w:val="24"/>
                <w:szCs w:val="24"/>
                <w:lang w:val="uk-UA"/>
              </w:rPr>
              <w:t xml:space="preserve">р/р 813808050000000026006185239 </w:t>
            </w:r>
          </w:p>
          <w:p w:rsidR="002C0535" w:rsidRPr="00542864" w:rsidRDefault="002C0535" w:rsidP="002C0535">
            <w:pPr>
              <w:shd w:val="clear" w:color="auto" w:fill="FFFFFF"/>
              <w:spacing w:line="274" w:lineRule="exact"/>
              <w:ind w:right="-280"/>
              <w:jc w:val="both"/>
              <w:rPr>
                <w:rFonts w:ascii="Times New Roman" w:hAnsi="Times New Roman" w:cs="Times New Roman"/>
                <w:spacing w:val="-1"/>
                <w:sz w:val="24"/>
                <w:szCs w:val="24"/>
                <w:lang w:val="uk-UA"/>
              </w:rPr>
            </w:pPr>
            <w:r w:rsidRPr="00542864">
              <w:rPr>
                <w:rFonts w:ascii="Times New Roman" w:hAnsi="Times New Roman" w:cs="Times New Roman"/>
                <w:spacing w:val="-2"/>
                <w:sz w:val="24"/>
                <w:szCs w:val="24"/>
                <w:lang w:val="uk-UA"/>
              </w:rPr>
              <w:t xml:space="preserve">в АТ </w:t>
            </w:r>
            <w:r w:rsidRPr="00542864">
              <w:rPr>
                <w:rFonts w:ascii="Times New Roman" w:hAnsi="Times New Roman" w:cs="Times New Roman"/>
                <w:spacing w:val="-1"/>
                <w:sz w:val="24"/>
                <w:szCs w:val="24"/>
                <w:lang w:val="uk-UA"/>
              </w:rPr>
              <w:t xml:space="preserve">«Райффайзен Банк Аваль» в м. Києві </w:t>
            </w:r>
          </w:p>
          <w:p w:rsidR="002C0535" w:rsidRPr="00542864" w:rsidRDefault="002C0535" w:rsidP="002C0535">
            <w:pPr>
              <w:shd w:val="clear" w:color="auto" w:fill="FFFFFF"/>
              <w:spacing w:line="274" w:lineRule="exact"/>
              <w:ind w:right="-280"/>
              <w:jc w:val="both"/>
              <w:rPr>
                <w:rFonts w:ascii="Times New Roman" w:hAnsi="Times New Roman" w:cs="Times New Roman"/>
                <w:spacing w:val="-1"/>
                <w:sz w:val="24"/>
                <w:szCs w:val="24"/>
                <w:lang w:val="uk-UA"/>
              </w:rPr>
            </w:pPr>
            <w:r w:rsidRPr="00542864">
              <w:rPr>
                <w:rFonts w:ascii="Times New Roman" w:hAnsi="Times New Roman" w:cs="Times New Roman"/>
                <w:spacing w:val="-1"/>
                <w:sz w:val="24"/>
                <w:szCs w:val="24"/>
                <w:lang w:val="uk-UA"/>
              </w:rPr>
              <w:t xml:space="preserve">МФО 380805 ЄДРПОУ 33322943 </w:t>
            </w:r>
          </w:p>
          <w:p w:rsidR="002C0535" w:rsidRPr="00542864" w:rsidRDefault="002C0535" w:rsidP="002C0535">
            <w:pPr>
              <w:shd w:val="clear" w:color="auto" w:fill="FFFFFF"/>
              <w:spacing w:line="274" w:lineRule="exact"/>
              <w:ind w:right="-280"/>
              <w:jc w:val="both"/>
              <w:rPr>
                <w:rFonts w:ascii="Times New Roman" w:hAnsi="Times New Roman" w:cs="Times New Roman"/>
                <w:sz w:val="24"/>
                <w:szCs w:val="24"/>
                <w:lang w:val="uk-UA"/>
              </w:rPr>
            </w:pPr>
            <w:proofErr w:type="spellStart"/>
            <w:r w:rsidRPr="00542864">
              <w:rPr>
                <w:rFonts w:ascii="Times New Roman" w:hAnsi="Times New Roman" w:cs="Times New Roman"/>
                <w:spacing w:val="-1"/>
                <w:sz w:val="24"/>
                <w:szCs w:val="24"/>
                <w:lang w:val="uk-UA"/>
              </w:rPr>
              <w:t>тел</w:t>
            </w:r>
            <w:proofErr w:type="spellEnd"/>
            <w:r w:rsidRPr="00542864">
              <w:rPr>
                <w:rFonts w:ascii="Times New Roman" w:hAnsi="Times New Roman" w:cs="Times New Roman"/>
                <w:spacing w:val="-1"/>
                <w:sz w:val="24"/>
                <w:szCs w:val="24"/>
                <w:lang w:val="uk-UA"/>
              </w:rPr>
              <w:t>/</w:t>
            </w:r>
            <w:r w:rsidRPr="00542864">
              <w:rPr>
                <w:rFonts w:ascii="Times New Roman" w:hAnsi="Times New Roman" w:cs="Times New Roman"/>
                <w:sz w:val="24"/>
                <w:szCs w:val="24"/>
                <w:lang w:val="uk-UA"/>
              </w:rPr>
              <w:t>факс (04332) 2-12-25</w:t>
            </w:r>
          </w:p>
          <w:p w:rsidR="002C0535" w:rsidRPr="00542864" w:rsidRDefault="002C0535" w:rsidP="002C0535">
            <w:pPr>
              <w:shd w:val="clear" w:color="auto" w:fill="FFFFFF"/>
              <w:spacing w:line="274" w:lineRule="exact"/>
              <w:ind w:right="-280"/>
              <w:jc w:val="both"/>
              <w:rPr>
                <w:rFonts w:ascii="Times New Roman" w:hAnsi="Times New Roman" w:cs="Times New Roman"/>
                <w:sz w:val="24"/>
                <w:szCs w:val="24"/>
                <w:lang w:val="uk-UA"/>
              </w:rPr>
            </w:pPr>
          </w:p>
          <w:p w:rsidR="002C0535" w:rsidRPr="00542864" w:rsidRDefault="002C0535" w:rsidP="002C0535">
            <w:pPr>
              <w:shd w:val="clear" w:color="auto" w:fill="FFFFFF"/>
              <w:spacing w:line="274" w:lineRule="exact"/>
              <w:ind w:right="-280"/>
              <w:jc w:val="both"/>
              <w:rPr>
                <w:rFonts w:ascii="Times New Roman" w:hAnsi="Times New Roman" w:cs="Times New Roman"/>
                <w:sz w:val="24"/>
                <w:szCs w:val="24"/>
                <w:lang w:val="uk-UA"/>
              </w:rPr>
            </w:pPr>
            <w:r w:rsidRPr="00542864">
              <w:rPr>
                <w:rFonts w:ascii="Times New Roman" w:hAnsi="Times New Roman" w:cs="Times New Roman"/>
                <w:sz w:val="24"/>
                <w:szCs w:val="24"/>
                <w:lang w:val="uk-UA"/>
              </w:rPr>
              <w:t>Директор ___________Сергій ФОКІН</w:t>
            </w:r>
          </w:p>
          <w:p w:rsidR="00CB2A07" w:rsidRDefault="002C0535" w:rsidP="002C0535">
            <w:pPr>
              <w:spacing w:before="240" w:after="240"/>
              <w:rPr>
                <w:rFonts w:ascii="Times New Roman" w:eastAsia="Times New Roman" w:hAnsi="Times New Roman" w:cs="Times New Roman"/>
                <w:color w:val="222222"/>
                <w:sz w:val="24"/>
                <w:szCs w:val="24"/>
              </w:rPr>
            </w:pPr>
            <w:proofErr w:type="spellStart"/>
            <w:r w:rsidRPr="00542864">
              <w:rPr>
                <w:rFonts w:ascii="Times New Roman" w:hAnsi="Times New Roman" w:cs="Times New Roman"/>
                <w:sz w:val="24"/>
                <w:szCs w:val="24"/>
                <w:lang w:val="uk-UA"/>
              </w:rPr>
              <w:t>м.п</w:t>
            </w:r>
            <w:proofErr w:type="spellEnd"/>
            <w:r w:rsidRPr="00542864">
              <w:rPr>
                <w:rFonts w:ascii="Times New Roman" w:hAnsi="Times New Roman" w:cs="Times New Roman"/>
                <w:sz w:val="24"/>
                <w:szCs w:val="24"/>
                <w:lang w:val="uk-UA"/>
              </w:rPr>
              <w:t>.</w:t>
            </w:r>
            <w:r w:rsidRPr="00542864">
              <w:rPr>
                <w:rFonts w:ascii="Times New Roman" w:hAnsi="Times New Roman" w:cs="Times New Roman"/>
                <w:sz w:val="24"/>
                <w:szCs w:val="24"/>
                <w:lang w:val="uk-UA"/>
              </w:rPr>
              <w:br w:type="column"/>
            </w:r>
            <w:r w:rsidR="005C5707" w:rsidRPr="00542864">
              <w:rPr>
                <w:rFonts w:ascii="Times New Roman" w:eastAsia="Times New Roman" w:hAnsi="Times New Roman" w:cs="Times New Roman"/>
                <w:color w:val="222222"/>
                <w:sz w:val="24"/>
                <w:szCs w:val="24"/>
              </w:rPr>
              <w:t xml:space="preserve"> </w:t>
            </w:r>
          </w:p>
        </w:tc>
        <w:tc>
          <w:tcPr>
            <w:tcW w:w="4470" w:type="dxa"/>
            <w:tcBorders>
              <w:top w:val="nil"/>
              <w:left w:val="nil"/>
              <w:bottom w:val="nil"/>
              <w:right w:val="nil"/>
            </w:tcBorders>
            <w:tcMar>
              <w:top w:w="100" w:type="dxa"/>
              <w:left w:w="100" w:type="dxa"/>
              <w:bottom w:w="100" w:type="dxa"/>
              <w:right w:w="100" w:type="dxa"/>
            </w:tcMar>
          </w:tcPr>
          <w:p w:rsidR="00CB2A07" w:rsidRDefault="005C5707">
            <w:pPr>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tc>
      </w:tr>
    </w:tbl>
    <w:p w:rsidR="00CB2A07" w:rsidRDefault="00CB2A07">
      <w:pPr>
        <w:spacing w:line="240" w:lineRule="auto"/>
        <w:rPr>
          <w:rFonts w:ascii="Times New Roman" w:eastAsia="Times New Roman" w:hAnsi="Times New Roman" w:cs="Times New Roman"/>
          <w:sz w:val="24"/>
          <w:szCs w:val="24"/>
        </w:rPr>
      </w:pPr>
    </w:p>
    <w:p w:rsidR="00CB2A07" w:rsidRDefault="00CB2A07">
      <w:pPr>
        <w:spacing w:line="240" w:lineRule="auto"/>
        <w:rPr>
          <w:rFonts w:ascii="Times New Roman" w:eastAsia="Times New Roman" w:hAnsi="Times New Roman" w:cs="Times New Roman"/>
          <w:sz w:val="24"/>
          <w:szCs w:val="24"/>
        </w:rPr>
      </w:pPr>
    </w:p>
    <w:p w:rsidR="00CB2A07" w:rsidRDefault="00CB2A07">
      <w:pPr>
        <w:spacing w:line="240" w:lineRule="auto"/>
        <w:rPr>
          <w:rFonts w:ascii="Times New Roman" w:eastAsia="Times New Roman" w:hAnsi="Times New Roman" w:cs="Times New Roman"/>
          <w:sz w:val="24"/>
          <w:szCs w:val="24"/>
        </w:rPr>
      </w:pPr>
    </w:p>
    <w:p w:rsidR="00CB2A07" w:rsidRDefault="00CB2A07">
      <w:pPr>
        <w:spacing w:line="240" w:lineRule="auto"/>
        <w:rPr>
          <w:rFonts w:ascii="Times New Roman" w:eastAsia="Times New Roman" w:hAnsi="Times New Roman" w:cs="Times New Roman"/>
          <w:sz w:val="24"/>
          <w:szCs w:val="24"/>
        </w:rPr>
      </w:pPr>
    </w:p>
    <w:p w:rsidR="00CB2A07" w:rsidRDefault="005C5707">
      <w:pPr>
        <w:spacing w:line="240" w:lineRule="auto"/>
        <w:rPr>
          <w:rFonts w:ascii="Times New Roman" w:eastAsia="Times New Roman" w:hAnsi="Times New Roman" w:cs="Times New Roman"/>
          <w:sz w:val="24"/>
          <w:szCs w:val="24"/>
        </w:rPr>
      </w:pPr>
      <w:r>
        <w:br w:type="page"/>
      </w:r>
    </w:p>
    <w:p w:rsidR="00CB2A07" w:rsidRDefault="005C5707">
      <w:pPr>
        <w:spacing w:line="259"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rPr>
        <w:t>Додаток 1</w:t>
      </w:r>
    </w:p>
    <w:p w:rsidR="00CB2A07" w:rsidRDefault="005C5707">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CB2A07" w:rsidRDefault="005C5707">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CB2A07" w:rsidRDefault="00CB2A07">
      <w:pPr>
        <w:spacing w:after="160" w:line="259" w:lineRule="auto"/>
        <w:ind w:hanging="84"/>
        <w:jc w:val="center"/>
        <w:rPr>
          <w:rFonts w:ascii="Times New Roman" w:eastAsia="Times New Roman" w:hAnsi="Times New Roman" w:cs="Times New Roman"/>
        </w:rPr>
      </w:pPr>
    </w:p>
    <w:p w:rsidR="00CB2A07" w:rsidRDefault="005C5707">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CB2A07">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CB2A07" w:rsidRDefault="005C570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rsidR="00CB2A07" w:rsidRDefault="005C570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CB2A07" w:rsidRDefault="005C570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CB2A07" w:rsidRDefault="005C570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CB2A07" w:rsidRDefault="005C570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B2A07" w:rsidRDefault="005C570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B2A07" w:rsidRDefault="005C570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CB2A07">
        <w:trPr>
          <w:trHeight w:val="651"/>
        </w:trPr>
        <w:tc>
          <w:tcPr>
            <w:tcW w:w="648" w:type="dxa"/>
            <w:tcBorders>
              <w:top w:val="nil"/>
              <w:left w:val="single" w:sz="4" w:space="0" w:color="000000"/>
              <w:bottom w:val="single" w:sz="4" w:space="0" w:color="000000"/>
              <w:right w:val="single" w:sz="4" w:space="0" w:color="000000"/>
            </w:tcBorders>
            <w:vAlign w:val="center"/>
          </w:tcPr>
          <w:p w:rsidR="00CB2A07" w:rsidRDefault="005C570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CB2A07" w:rsidRDefault="00BA5284">
            <w:pPr>
              <w:tabs>
                <w:tab w:val="left" w:pos="7088"/>
                <w:tab w:val="left" w:pos="7371"/>
              </w:tabs>
              <w:spacing w:after="160" w:line="259" w:lineRule="auto"/>
              <w:jc w:val="both"/>
              <w:rPr>
                <w:rFonts w:ascii="Times New Roman" w:eastAsia="Times New Roman" w:hAnsi="Times New Roman" w:cs="Times New Roman"/>
              </w:rPr>
            </w:pPr>
            <w:r>
              <w:rPr>
                <w:sz w:val="18"/>
                <w:szCs w:val="18"/>
                <w:lang w:val="uk-UA"/>
              </w:rPr>
              <w:t>Дизпаливо ( в талонах)</w:t>
            </w:r>
          </w:p>
        </w:tc>
        <w:tc>
          <w:tcPr>
            <w:tcW w:w="1560" w:type="dxa"/>
            <w:tcBorders>
              <w:top w:val="nil"/>
              <w:left w:val="nil"/>
              <w:bottom w:val="single" w:sz="4" w:space="0" w:color="000000"/>
              <w:right w:val="single" w:sz="4" w:space="0" w:color="000000"/>
            </w:tcBorders>
            <w:vAlign w:val="center"/>
          </w:tcPr>
          <w:p w:rsidR="00CB2A07" w:rsidRDefault="005C570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CB2A07" w:rsidRPr="00BA5284" w:rsidRDefault="00910BD5">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200</w:t>
            </w:r>
          </w:p>
        </w:tc>
        <w:tc>
          <w:tcPr>
            <w:tcW w:w="1341" w:type="dxa"/>
            <w:tcBorders>
              <w:top w:val="nil"/>
              <w:left w:val="nil"/>
              <w:bottom w:val="single" w:sz="4" w:space="0" w:color="000000"/>
              <w:right w:val="single" w:sz="4" w:space="0" w:color="000000"/>
            </w:tcBorders>
            <w:vAlign w:val="center"/>
          </w:tcPr>
          <w:p w:rsidR="00CB2A07" w:rsidRDefault="00CB2A07">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CB2A07" w:rsidRDefault="00CB2A07">
            <w:pPr>
              <w:spacing w:after="160" w:line="259" w:lineRule="auto"/>
              <w:jc w:val="center"/>
              <w:rPr>
                <w:rFonts w:ascii="Times New Roman" w:eastAsia="Times New Roman" w:hAnsi="Times New Roman" w:cs="Times New Roman"/>
              </w:rPr>
            </w:pPr>
          </w:p>
        </w:tc>
      </w:tr>
      <w:tr w:rsidR="00BA5284">
        <w:trPr>
          <w:trHeight w:val="651"/>
        </w:trPr>
        <w:tc>
          <w:tcPr>
            <w:tcW w:w="648" w:type="dxa"/>
            <w:tcBorders>
              <w:top w:val="nil"/>
              <w:left w:val="single" w:sz="4" w:space="0" w:color="000000"/>
              <w:bottom w:val="single" w:sz="4" w:space="0" w:color="000000"/>
              <w:right w:val="single" w:sz="4" w:space="0" w:color="000000"/>
            </w:tcBorders>
            <w:vAlign w:val="center"/>
          </w:tcPr>
          <w:p w:rsidR="00BA5284" w:rsidRPr="00BA5284" w:rsidRDefault="00BA5284">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2295" w:type="dxa"/>
            <w:tcBorders>
              <w:top w:val="nil"/>
              <w:left w:val="nil"/>
              <w:bottom w:val="single" w:sz="4" w:space="0" w:color="000000"/>
              <w:right w:val="single" w:sz="4" w:space="0" w:color="000000"/>
            </w:tcBorders>
            <w:vAlign w:val="center"/>
          </w:tcPr>
          <w:p w:rsidR="00BA5284" w:rsidRDefault="00804A35">
            <w:pPr>
              <w:tabs>
                <w:tab w:val="left" w:pos="7088"/>
                <w:tab w:val="left" w:pos="7371"/>
              </w:tabs>
              <w:spacing w:after="160" w:line="259" w:lineRule="auto"/>
              <w:jc w:val="both"/>
              <w:rPr>
                <w:sz w:val="18"/>
                <w:szCs w:val="18"/>
                <w:lang w:val="uk-UA"/>
              </w:rPr>
            </w:pPr>
            <w:r>
              <w:rPr>
                <w:sz w:val="18"/>
                <w:szCs w:val="18"/>
                <w:lang w:val="uk-UA"/>
              </w:rPr>
              <w:t>Бензин А-92 ( в талонах)</w:t>
            </w:r>
          </w:p>
        </w:tc>
        <w:tc>
          <w:tcPr>
            <w:tcW w:w="1560" w:type="dxa"/>
            <w:tcBorders>
              <w:top w:val="nil"/>
              <w:left w:val="nil"/>
              <w:bottom w:val="single" w:sz="4" w:space="0" w:color="000000"/>
              <w:right w:val="single" w:sz="4" w:space="0" w:color="000000"/>
            </w:tcBorders>
            <w:vAlign w:val="center"/>
          </w:tcPr>
          <w:p w:rsidR="00BA5284" w:rsidRPr="00804A35" w:rsidRDefault="00804A35">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_</w:t>
            </w:r>
          </w:p>
        </w:tc>
        <w:tc>
          <w:tcPr>
            <w:tcW w:w="1275" w:type="dxa"/>
            <w:tcBorders>
              <w:top w:val="nil"/>
              <w:left w:val="nil"/>
              <w:bottom w:val="single" w:sz="4" w:space="0" w:color="000000"/>
              <w:right w:val="single" w:sz="4" w:space="0" w:color="000000"/>
            </w:tcBorders>
            <w:vAlign w:val="center"/>
          </w:tcPr>
          <w:p w:rsidR="00BA5284" w:rsidRDefault="00E80ACA" w:rsidP="00E80ACA">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100</w:t>
            </w:r>
            <w:bookmarkStart w:id="3" w:name="_GoBack"/>
            <w:bookmarkEnd w:id="3"/>
          </w:p>
        </w:tc>
        <w:tc>
          <w:tcPr>
            <w:tcW w:w="1341" w:type="dxa"/>
            <w:tcBorders>
              <w:top w:val="nil"/>
              <w:left w:val="nil"/>
              <w:bottom w:val="single" w:sz="4" w:space="0" w:color="000000"/>
              <w:right w:val="single" w:sz="4" w:space="0" w:color="000000"/>
            </w:tcBorders>
            <w:vAlign w:val="center"/>
          </w:tcPr>
          <w:p w:rsidR="00BA5284" w:rsidRDefault="00BA5284">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BA5284" w:rsidRDefault="00BA5284">
            <w:pPr>
              <w:spacing w:after="160" w:line="259" w:lineRule="auto"/>
              <w:jc w:val="center"/>
              <w:rPr>
                <w:rFonts w:ascii="Times New Roman" w:eastAsia="Times New Roman" w:hAnsi="Times New Roman" w:cs="Times New Roman"/>
              </w:rPr>
            </w:pPr>
          </w:p>
        </w:tc>
      </w:tr>
      <w:tr w:rsidR="00CB2A07">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CB2A07" w:rsidRDefault="005C5707">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CB2A07" w:rsidRDefault="00CB2A07">
            <w:pPr>
              <w:spacing w:after="160" w:line="259" w:lineRule="auto"/>
              <w:jc w:val="center"/>
              <w:rPr>
                <w:rFonts w:ascii="Times New Roman" w:eastAsia="Times New Roman" w:hAnsi="Times New Roman" w:cs="Times New Roman"/>
              </w:rPr>
            </w:pPr>
          </w:p>
        </w:tc>
      </w:tr>
      <w:tr w:rsidR="00CB2A07">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CB2A07" w:rsidRDefault="005C5707">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CB2A07" w:rsidRDefault="00CB2A07">
            <w:pPr>
              <w:spacing w:after="160" w:line="259" w:lineRule="auto"/>
              <w:jc w:val="center"/>
              <w:rPr>
                <w:rFonts w:ascii="Times New Roman" w:eastAsia="Times New Roman" w:hAnsi="Times New Roman" w:cs="Times New Roman"/>
              </w:rPr>
            </w:pPr>
          </w:p>
        </w:tc>
      </w:tr>
    </w:tbl>
    <w:p w:rsidR="00CB2A07" w:rsidRDefault="00CB2A07">
      <w:pPr>
        <w:spacing w:after="160" w:line="259" w:lineRule="auto"/>
        <w:ind w:firstLine="540"/>
        <w:jc w:val="center"/>
        <w:rPr>
          <w:rFonts w:ascii="Times New Roman" w:eastAsia="Times New Roman" w:hAnsi="Times New Roman" w:cs="Times New Roman"/>
        </w:rPr>
      </w:pPr>
    </w:p>
    <w:tbl>
      <w:tblPr>
        <w:tblW w:w="10260" w:type="dxa"/>
        <w:tblInd w:w="-360" w:type="dxa"/>
        <w:tblCellMar>
          <w:left w:w="0" w:type="dxa"/>
          <w:right w:w="0" w:type="dxa"/>
        </w:tblCellMar>
        <w:tblLook w:val="0000" w:firstRow="0" w:lastRow="0" w:firstColumn="0" w:lastColumn="0" w:noHBand="0" w:noVBand="0"/>
      </w:tblPr>
      <w:tblGrid>
        <w:gridCol w:w="10260"/>
      </w:tblGrid>
      <w:tr w:rsidR="00360003" w:rsidRPr="00360003" w:rsidTr="00DC5771">
        <w:trPr>
          <w:trHeight w:val="343"/>
        </w:trPr>
        <w:tc>
          <w:tcPr>
            <w:tcW w:w="10260" w:type="dxa"/>
            <w:noWrap/>
            <w:vAlign w:val="bottom"/>
          </w:tcPr>
          <w:p w:rsidR="00360003" w:rsidRPr="00360003" w:rsidRDefault="00360003" w:rsidP="00360003">
            <w:pPr>
              <w:spacing w:before="100" w:beforeAutospacing="1" w:after="200" w:line="240" w:lineRule="auto"/>
              <w:contextualSpacing/>
              <w:rPr>
                <w:rFonts w:ascii="Times New Roman" w:eastAsia="Calibri" w:hAnsi="Times New Roman" w:cs="Times New Roman"/>
                <w:bCs/>
                <w:sz w:val="24"/>
                <w:szCs w:val="24"/>
                <w:lang w:val="uk-UA" w:eastAsia="en-US"/>
              </w:rPr>
            </w:pPr>
            <w:r w:rsidRPr="00360003">
              <w:rPr>
                <w:rFonts w:ascii="Times New Roman" w:eastAsia="Calibri" w:hAnsi="Times New Roman" w:cs="Times New Roman"/>
                <w:sz w:val="24"/>
                <w:szCs w:val="24"/>
                <w:lang w:val="uk-UA" w:eastAsia="en-US"/>
              </w:rPr>
              <w:t xml:space="preserve">          </w:t>
            </w:r>
            <w:r w:rsidRPr="00360003">
              <w:rPr>
                <w:rFonts w:ascii="Times New Roman" w:eastAsia="Calibri" w:hAnsi="Times New Roman" w:cs="Times New Roman"/>
                <w:bCs/>
                <w:sz w:val="24"/>
                <w:szCs w:val="24"/>
                <w:lang w:val="uk-UA" w:eastAsia="en-US"/>
              </w:rPr>
              <w:t xml:space="preserve">Сума прописом:  ____________ грн.  _____ коп.            </w:t>
            </w:r>
          </w:p>
        </w:tc>
      </w:tr>
    </w:tbl>
    <w:p w:rsidR="00360003" w:rsidRPr="00360003" w:rsidRDefault="00360003" w:rsidP="0036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Calibri" w:hAnsi="Times New Roman" w:cs="Times New Roman"/>
          <w:color w:val="121212"/>
          <w:sz w:val="24"/>
          <w:szCs w:val="24"/>
          <w:lang w:val="uk-UA" w:eastAsia="en-US"/>
        </w:rPr>
      </w:pPr>
      <w:r w:rsidRPr="00360003">
        <w:rPr>
          <w:rFonts w:ascii="Times New Roman" w:eastAsia="Calibri" w:hAnsi="Times New Roman" w:cs="Times New Roman"/>
          <w:color w:val="121212"/>
          <w:sz w:val="24"/>
          <w:szCs w:val="24"/>
          <w:lang w:val="uk-UA" w:eastAsia="en-US"/>
        </w:rPr>
        <w:t xml:space="preserve">* </w:t>
      </w:r>
      <w:r w:rsidRPr="00360003">
        <w:rPr>
          <w:rFonts w:ascii="Times New Roman" w:eastAsia="Calibri" w:hAnsi="Times New Roman" w:cs="Times New Roman"/>
          <w:i/>
          <w:iCs/>
          <w:color w:val="121212"/>
          <w:sz w:val="24"/>
          <w:szCs w:val="24"/>
          <w:lang w:val="uk-UA" w:eastAsia="en-US"/>
        </w:rPr>
        <w:t xml:space="preserve">ціна визначається з поміткою «з ПДВ» або «у </w:t>
      </w:r>
      <w:proofErr w:type="spellStart"/>
      <w:r w:rsidRPr="00360003">
        <w:rPr>
          <w:rFonts w:ascii="Times New Roman" w:eastAsia="Calibri" w:hAnsi="Times New Roman" w:cs="Times New Roman"/>
          <w:i/>
          <w:iCs/>
          <w:color w:val="121212"/>
          <w:sz w:val="24"/>
          <w:szCs w:val="24"/>
          <w:lang w:val="uk-UA" w:eastAsia="en-US"/>
        </w:rPr>
        <w:t>т.ч</w:t>
      </w:r>
      <w:proofErr w:type="spellEnd"/>
      <w:r w:rsidRPr="00360003">
        <w:rPr>
          <w:rFonts w:ascii="Times New Roman" w:eastAsia="Calibri" w:hAnsi="Times New Roman" w:cs="Times New Roman"/>
          <w:i/>
          <w:iCs/>
          <w:color w:val="121212"/>
          <w:sz w:val="24"/>
          <w:szCs w:val="24"/>
          <w:lang w:val="uk-UA" w:eastAsia="en-US"/>
        </w:rPr>
        <w:t>. ПДВ» у тому випадку, якщо Постачальник є платником податку на додану вартість.</w:t>
      </w:r>
      <w:r w:rsidRPr="00360003">
        <w:rPr>
          <w:rFonts w:ascii="Times New Roman" w:eastAsia="Calibri" w:hAnsi="Times New Roman" w:cs="Times New Roman"/>
          <w:b/>
          <w:bCs/>
          <w:sz w:val="24"/>
          <w:szCs w:val="24"/>
          <w:lang w:val="uk-UA" w:eastAsia="en-US"/>
        </w:rPr>
        <w:t xml:space="preserve">         </w:t>
      </w:r>
    </w:p>
    <w:p w:rsidR="00360003" w:rsidRPr="00360003" w:rsidRDefault="00360003" w:rsidP="00360003">
      <w:pPr>
        <w:widowControl w:val="0"/>
        <w:spacing w:before="100" w:beforeAutospacing="1" w:after="200" w:line="240" w:lineRule="auto"/>
        <w:contextualSpacing/>
        <w:jc w:val="both"/>
        <w:rPr>
          <w:rFonts w:ascii="Times New Roman" w:eastAsia="Calibri" w:hAnsi="Times New Roman" w:cs="Times New Roman"/>
          <w:sz w:val="24"/>
          <w:szCs w:val="24"/>
          <w:lang w:val="uk-UA" w:eastAsia="en-US"/>
        </w:rPr>
      </w:pPr>
      <w:r w:rsidRPr="00360003">
        <w:rPr>
          <w:rFonts w:ascii="Times New Roman" w:eastAsia="Calibri" w:hAnsi="Times New Roman" w:cs="Times New Roman"/>
          <w:sz w:val="24"/>
          <w:szCs w:val="24"/>
          <w:lang w:val="uk-UA" w:eastAsia="en-US"/>
        </w:rPr>
        <w:t xml:space="preserve">Специфікація складена у двох автентичних примірниках, які мають однакову юридичну силу, по одному для кожної із Сторін. </w:t>
      </w:r>
    </w:p>
    <w:p w:rsidR="00CB2A07" w:rsidRPr="00360003" w:rsidRDefault="00CB2A07" w:rsidP="00360003">
      <w:pPr>
        <w:tabs>
          <w:tab w:val="left" w:pos="1080"/>
        </w:tabs>
        <w:spacing w:line="240" w:lineRule="auto"/>
        <w:jc w:val="both"/>
        <w:rPr>
          <w:rFonts w:ascii="Times New Roman" w:eastAsia="Times New Roman" w:hAnsi="Times New Roman" w:cs="Times New Roman"/>
          <w:color w:val="000000"/>
          <w:sz w:val="24"/>
          <w:szCs w:val="24"/>
          <w:lang w:val="uk-UA"/>
        </w:rPr>
      </w:pPr>
    </w:p>
    <w:tbl>
      <w:tblPr>
        <w:tblStyle w:val="affff3"/>
        <w:tblW w:w="9936" w:type="dxa"/>
        <w:tblInd w:w="-115" w:type="dxa"/>
        <w:tblLayout w:type="fixed"/>
        <w:tblLook w:val="0000" w:firstRow="0" w:lastRow="0" w:firstColumn="0" w:lastColumn="0" w:noHBand="0" w:noVBand="0"/>
      </w:tblPr>
      <w:tblGrid>
        <w:gridCol w:w="4968"/>
        <w:gridCol w:w="4968"/>
      </w:tblGrid>
      <w:tr w:rsidR="00CB2A07">
        <w:tc>
          <w:tcPr>
            <w:tcW w:w="4968" w:type="dxa"/>
          </w:tcPr>
          <w:p w:rsidR="00CB2A07" w:rsidRDefault="00CB2A07">
            <w:pPr>
              <w:tabs>
                <w:tab w:val="left" w:pos="459"/>
              </w:tabs>
              <w:spacing w:after="160" w:line="259" w:lineRule="auto"/>
              <w:rPr>
                <w:rFonts w:ascii="Times New Roman" w:eastAsia="Times New Roman" w:hAnsi="Times New Roman" w:cs="Times New Roman"/>
                <w:b/>
              </w:rPr>
            </w:pPr>
          </w:p>
        </w:tc>
        <w:tc>
          <w:tcPr>
            <w:tcW w:w="4968" w:type="dxa"/>
          </w:tcPr>
          <w:p w:rsidR="00CB2A07" w:rsidRDefault="00CB2A07">
            <w:pPr>
              <w:tabs>
                <w:tab w:val="left" w:pos="459"/>
              </w:tabs>
              <w:spacing w:after="160" w:line="259" w:lineRule="auto"/>
              <w:ind w:firstLine="142"/>
              <w:jc w:val="center"/>
              <w:rPr>
                <w:rFonts w:ascii="Times New Roman" w:eastAsia="Times New Roman" w:hAnsi="Times New Roman" w:cs="Times New Roman"/>
                <w:b/>
              </w:rPr>
            </w:pPr>
          </w:p>
        </w:tc>
      </w:tr>
      <w:tr w:rsidR="00CB2A07">
        <w:tc>
          <w:tcPr>
            <w:tcW w:w="4968" w:type="dxa"/>
          </w:tcPr>
          <w:p w:rsidR="00CB2A07" w:rsidRDefault="00CB2A07">
            <w:pPr>
              <w:widowControl w:val="0"/>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CB2A07">
              <w:tc>
                <w:tcPr>
                  <w:tcW w:w="4928" w:type="dxa"/>
                </w:tcPr>
                <w:p w:rsidR="00CB2A07" w:rsidRDefault="005C5707">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CB2A07" w:rsidRDefault="005C5707">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CB2A07">
              <w:tc>
                <w:tcPr>
                  <w:tcW w:w="4928" w:type="dxa"/>
                </w:tcPr>
                <w:p w:rsidR="00542864" w:rsidRPr="00542864" w:rsidRDefault="00542864" w:rsidP="00542864">
                  <w:pPr>
                    <w:shd w:val="clear" w:color="auto" w:fill="FFFFFF"/>
                    <w:spacing w:line="274" w:lineRule="exact"/>
                    <w:ind w:left="10" w:right="-280"/>
                    <w:jc w:val="both"/>
                    <w:rPr>
                      <w:rFonts w:ascii="Times New Roman" w:hAnsi="Times New Roman" w:cs="Times New Roman"/>
                    </w:rPr>
                  </w:pPr>
                  <w:r w:rsidRPr="00542864">
                    <w:rPr>
                      <w:rFonts w:ascii="Times New Roman" w:hAnsi="Times New Roman" w:cs="Times New Roman"/>
                      <w:b/>
                      <w:bCs/>
                      <w:spacing w:val="-1"/>
                      <w:sz w:val="24"/>
                      <w:szCs w:val="24"/>
                      <w:lang w:val="uk-UA"/>
                    </w:rPr>
                    <w:t>КП «Жмеринкакомунсервіс»</w:t>
                  </w:r>
                </w:p>
                <w:p w:rsidR="00542864" w:rsidRPr="00542864" w:rsidRDefault="00542864" w:rsidP="00542864">
                  <w:pPr>
                    <w:shd w:val="clear" w:color="auto" w:fill="FFFFFF"/>
                    <w:spacing w:line="274" w:lineRule="exact"/>
                    <w:ind w:right="-280"/>
                    <w:jc w:val="both"/>
                    <w:rPr>
                      <w:rFonts w:ascii="Times New Roman" w:hAnsi="Times New Roman" w:cs="Times New Roman"/>
                    </w:rPr>
                  </w:pPr>
                  <w:r w:rsidRPr="00542864">
                    <w:rPr>
                      <w:rFonts w:ascii="Times New Roman" w:hAnsi="Times New Roman" w:cs="Times New Roman"/>
                      <w:sz w:val="24"/>
                      <w:szCs w:val="24"/>
                      <w:lang w:val="uk-UA"/>
                    </w:rPr>
                    <w:t xml:space="preserve">23100, </w:t>
                  </w:r>
                  <w:r w:rsidRPr="00542864">
                    <w:rPr>
                      <w:rFonts w:ascii="Times New Roman" w:hAnsi="Times New Roman" w:cs="Times New Roman"/>
                      <w:spacing w:val="-4"/>
                      <w:sz w:val="24"/>
                      <w:szCs w:val="24"/>
                      <w:lang w:val="uk-UA"/>
                    </w:rPr>
                    <w:t>Вінницька обл.,</w:t>
                  </w:r>
                </w:p>
                <w:p w:rsidR="00542864" w:rsidRPr="00542864" w:rsidRDefault="00542864" w:rsidP="00542864">
                  <w:pPr>
                    <w:shd w:val="clear" w:color="auto" w:fill="FFFFFF"/>
                    <w:spacing w:line="274" w:lineRule="exact"/>
                    <w:ind w:right="-280"/>
                    <w:jc w:val="both"/>
                    <w:rPr>
                      <w:rFonts w:ascii="Times New Roman" w:hAnsi="Times New Roman" w:cs="Times New Roman"/>
                      <w:sz w:val="24"/>
                      <w:szCs w:val="24"/>
                      <w:lang w:val="uk-UA"/>
                    </w:rPr>
                  </w:pPr>
                  <w:r w:rsidRPr="00542864">
                    <w:rPr>
                      <w:rFonts w:ascii="Times New Roman" w:hAnsi="Times New Roman" w:cs="Times New Roman"/>
                      <w:sz w:val="24"/>
                      <w:szCs w:val="24"/>
                      <w:lang w:val="uk-UA"/>
                    </w:rPr>
                    <w:t>м. Жмеринка, вул. Соборна, 10.</w:t>
                  </w:r>
                </w:p>
                <w:p w:rsidR="00542864" w:rsidRPr="00542864" w:rsidRDefault="00542864" w:rsidP="00542864">
                  <w:pPr>
                    <w:shd w:val="clear" w:color="auto" w:fill="FFFFFF"/>
                    <w:spacing w:line="274" w:lineRule="exact"/>
                    <w:ind w:right="-280"/>
                    <w:jc w:val="both"/>
                    <w:rPr>
                      <w:rFonts w:ascii="Times New Roman" w:hAnsi="Times New Roman" w:cs="Times New Roman"/>
                      <w:spacing w:val="-2"/>
                      <w:sz w:val="24"/>
                      <w:szCs w:val="24"/>
                      <w:lang w:val="uk-UA"/>
                    </w:rPr>
                  </w:pPr>
                  <w:r w:rsidRPr="00542864">
                    <w:rPr>
                      <w:rFonts w:ascii="Times New Roman" w:hAnsi="Times New Roman" w:cs="Times New Roman"/>
                      <w:spacing w:val="-2"/>
                      <w:sz w:val="24"/>
                      <w:szCs w:val="24"/>
                      <w:lang w:val="uk-UA"/>
                    </w:rPr>
                    <w:t xml:space="preserve">р/р 813808050000000026006185239 </w:t>
                  </w:r>
                </w:p>
                <w:p w:rsidR="00542864" w:rsidRPr="00542864" w:rsidRDefault="00542864" w:rsidP="00542864">
                  <w:pPr>
                    <w:shd w:val="clear" w:color="auto" w:fill="FFFFFF"/>
                    <w:spacing w:line="274" w:lineRule="exact"/>
                    <w:ind w:right="-280"/>
                    <w:jc w:val="both"/>
                    <w:rPr>
                      <w:rFonts w:ascii="Times New Roman" w:hAnsi="Times New Roman" w:cs="Times New Roman"/>
                      <w:spacing w:val="-1"/>
                      <w:sz w:val="24"/>
                      <w:szCs w:val="24"/>
                      <w:lang w:val="uk-UA"/>
                    </w:rPr>
                  </w:pPr>
                  <w:r w:rsidRPr="00542864">
                    <w:rPr>
                      <w:rFonts w:ascii="Times New Roman" w:hAnsi="Times New Roman" w:cs="Times New Roman"/>
                      <w:spacing w:val="-2"/>
                      <w:sz w:val="24"/>
                      <w:szCs w:val="24"/>
                      <w:lang w:val="uk-UA"/>
                    </w:rPr>
                    <w:t xml:space="preserve">в АТ </w:t>
                  </w:r>
                  <w:r w:rsidRPr="00542864">
                    <w:rPr>
                      <w:rFonts w:ascii="Times New Roman" w:hAnsi="Times New Roman" w:cs="Times New Roman"/>
                      <w:spacing w:val="-1"/>
                      <w:sz w:val="24"/>
                      <w:szCs w:val="24"/>
                      <w:lang w:val="uk-UA"/>
                    </w:rPr>
                    <w:t xml:space="preserve">«Райффайзен Банк Аваль» в м. Києві </w:t>
                  </w:r>
                </w:p>
                <w:p w:rsidR="00542864" w:rsidRPr="00542864" w:rsidRDefault="00542864" w:rsidP="00542864">
                  <w:pPr>
                    <w:shd w:val="clear" w:color="auto" w:fill="FFFFFF"/>
                    <w:spacing w:line="274" w:lineRule="exact"/>
                    <w:ind w:right="-280"/>
                    <w:jc w:val="both"/>
                    <w:rPr>
                      <w:rFonts w:ascii="Times New Roman" w:hAnsi="Times New Roman" w:cs="Times New Roman"/>
                      <w:spacing w:val="-1"/>
                      <w:sz w:val="24"/>
                      <w:szCs w:val="24"/>
                      <w:lang w:val="uk-UA"/>
                    </w:rPr>
                  </w:pPr>
                  <w:r w:rsidRPr="00542864">
                    <w:rPr>
                      <w:rFonts w:ascii="Times New Roman" w:hAnsi="Times New Roman" w:cs="Times New Roman"/>
                      <w:spacing w:val="-1"/>
                      <w:sz w:val="24"/>
                      <w:szCs w:val="24"/>
                      <w:lang w:val="uk-UA"/>
                    </w:rPr>
                    <w:t xml:space="preserve">МФО 380805 ЄДРПОУ 33322943 </w:t>
                  </w:r>
                </w:p>
                <w:p w:rsidR="00542864" w:rsidRPr="00542864" w:rsidRDefault="00542864" w:rsidP="00542864">
                  <w:pPr>
                    <w:shd w:val="clear" w:color="auto" w:fill="FFFFFF"/>
                    <w:spacing w:line="274" w:lineRule="exact"/>
                    <w:ind w:right="-280"/>
                    <w:jc w:val="both"/>
                    <w:rPr>
                      <w:rFonts w:ascii="Times New Roman" w:hAnsi="Times New Roman" w:cs="Times New Roman"/>
                      <w:sz w:val="24"/>
                      <w:szCs w:val="24"/>
                      <w:lang w:val="uk-UA"/>
                    </w:rPr>
                  </w:pPr>
                  <w:proofErr w:type="spellStart"/>
                  <w:r w:rsidRPr="00542864">
                    <w:rPr>
                      <w:rFonts w:ascii="Times New Roman" w:hAnsi="Times New Roman" w:cs="Times New Roman"/>
                      <w:spacing w:val="-1"/>
                      <w:sz w:val="24"/>
                      <w:szCs w:val="24"/>
                      <w:lang w:val="uk-UA"/>
                    </w:rPr>
                    <w:t>тел</w:t>
                  </w:r>
                  <w:proofErr w:type="spellEnd"/>
                  <w:r w:rsidRPr="00542864">
                    <w:rPr>
                      <w:rFonts w:ascii="Times New Roman" w:hAnsi="Times New Roman" w:cs="Times New Roman"/>
                      <w:spacing w:val="-1"/>
                      <w:sz w:val="24"/>
                      <w:szCs w:val="24"/>
                      <w:lang w:val="uk-UA"/>
                    </w:rPr>
                    <w:t>/</w:t>
                  </w:r>
                  <w:r w:rsidRPr="00542864">
                    <w:rPr>
                      <w:rFonts w:ascii="Times New Roman" w:hAnsi="Times New Roman" w:cs="Times New Roman"/>
                      <w:sz w:val="24"/>
                      <w:szCs w:val="24"/>
                      <w:lang w:val="uk-UA"/>
                    </w:rPr>
                    <w:t>факс (04332) 2-12-25</w:t>
                  </w:r>
                </w:p>
                <w:p w:rsidR="00542864" w:rsidRPr="00542864" w:rsidRDefault="00542864" w:rsidP="00542864">
                  <w:pPr>
                    <w:shd w:val="clear" w:color="auto" w:fill="FFFFFF"/>
                    <w:spacing w:line="274" w:lineRule="exact"/>
                    <w:ind w:right="-280"/>
                    <w:jc w:val="both"/>
                    <w:rPr>
                      <w:rFonts w:ascii="Times New Roman" w:hAnsi="Times New Roman" w:cs="Times New Roman"/>
                      <w:sz w:val="24"/>
                      <w:szCs w:val="24"/>
                      <w:lang w:val="uk-UA"/>
                    </w:rPr>
                  </w:pPr>
                </w:p>
                <w:p w:rsidR="00542864" w:rsidRDefault="00542864" w:rsidP="00542864">
                  <w:pPr>
                    <w:shd w:val="clear" w:color="auto" w:fill="FFFFFF"/>
                    <w:spacing w:line="274" w:lineRule="exact"/>
                    <w:ind w:right="-280"/>
                    <w:jc w:val="both"/>
                    <w:rPr>
                      <w:rFonts w:ascii="Times New Roman" w:hAnsi="Times New Roman" w:cs="Times New Roman"/>
                      <w:sz w:val="24"/>
                      <w:szCs w:val="24"/>
                      <w:lang w:val="uk-UA"/>
                    </w:rPr>
                  </w:pPr>
                </w:p>
                <w:p w:rsidR="00542864" w:rsidRDefault="00542864" w:rsidP="00542864">
                  <w:pPr>
                    <w:shd w:val="clear" w:color="auto" w:fill="FFFFFF"/>
                    <w:spacing w:line="274" w:lineRule="exact"/>
                    <w:ind w:right="-280"/>
                    <w:jc w:val="both"/>
                    <w:rPr>
                      <w:rFonts w:ascii="Times New Roman" w:hAnsi="Times New Roman" w:cs="Times New Roman"/>
                      <w:sz w:val="24"/>
                      <w:szCs w:val="24"/>
                      <w:lang w:val="uk-UA"/>
                    </w:rPr>
                  </w:pPr>
                </w:p>
                <w:p w:rsidR="00542864" w:rsidRDefault="00542864" w:rsidP="00542864">
                  <w:pPr>
                    <w:shd w:val="clear" w:color="auto" w:fill="FFFFFF"/>
                    <w:spacing w:line="274" w:lineRule="exact"/>
                    <w:ind w:right="-280"/>
                    <w:jc w:val="both"/>
                    <w:rPr>
                      <w:rFonts w:ascii="Times New Roman" w:hAnsi="Times New Roman" w:cs="Times New Roman"/>
                      <w:sz w:val="24"/>
                      <w:szCs w:val="24"/>
                      <w:lang w:val="uk-UA"/>
                    </w:rPr>
                  </w:pPr>
                </w:p>
                <w:p w:rsidR="00542864" w:rsidRPr="00542864" w:rsidRDefault="00542864" w:rsidP="00542864">
                  <w:pPr>
                    <w:shd w:val="clear" w:color="auto" w:fill="FFFFFF"/>
                    <w:spacing w:line="274" w:lineRule="exact"/>
                    <w:ind w:right="-280"/>
                    <w:jc w:val="both"/>
                    <w:rPr>
                      <w:rFonts w:ascii="Times New Roman" w:hAnsi="Times New Roman" w:cs="Times New Roman"/>
                      <w:sz w:val="24"/>
                      <w:szCs w:val="24"/>
                      <w:lang w:val="uk-UA"/>
                    </w:rPr>
                  </w:pPr>
                  <w:r w:rsidRPr="00542864">
                    <w:rPr>
                      <w:rFonts w:ascii="Times New Roman" w:hAnsi="Times New Roman" w:cs="Times New Roman"/>
                      <w:sz w:val="24"/>
                      <w:szCs w:val="24"/>
                      <w:lang w:val="uk-UA"/>
                    </w:rPr>
                    <w:t>Директор ___________Сергій ФОКІН</w:t>
                  </w:r>
                </w:p>
                <w:p w:rsidR="00CB2A07" w:rsidRDefault="00542864" w:rsidP="00542864">
                  <w:pPr>
                    <w:tabs>
                      <w:tab w:val="left" w:pos="459"/>
                    </w:tabs>
                    <w:rPr>
                      <w:rFonts w:ascii="Times New Roman" w:eastAsia="Times New Roman" w:hAnsi="Times New Roman" w:cs="Times New Roman"/>
                    </w:rPr>
                  </w:pPr>
                  <w:proofErr w:type="spellStart"/>
                  <w:r w:rsidRPr="00542864">
                    <w:rPr>
                      <w:rFonts w:ascii="Times New Roman" w:hAnsi="Times New Roman" w:cs="Times New Roman"/>
                      <w:sz w:val="24"/>
                      <w:szCs w:val="24"/>
                      <w:lang w:val="uk-UA"/>
                    </w:rPr>
                    <w:t>м.п</w:t>
                  </w:r>
                  <w:proofErr w:type="spellEnd"/>
                  <w:r w:rsidRPr="00542864">
                    <w:rPr>
                      <w:rFonts w:ascii="Times New Roman" w:hAnsi="Times New Roman" w:cs="Times New Roman"/>
                      <w:sz w:val="24"/>
                      <w:szCs w:val="24"/>
                      <w:lang w:val="uk-UA"/>
                    </w:rPr>
                    <w:t>.</w:t>
                  </w:r>
                  <w:r w:rsidRPr="00542864">
                    <w:rPr>
                      <w:rFonts w:ascii="Times New Roman" w:hAnsi="Times New Roman" w:cs="Times New Roman"/>
                      <w:sz w:val="24"/>
                      <w:szCs w:val="24"/>
                      <w:lang w:val="uk-UA"/>
                    </w:rPr>
                    <w:br w:type="column"/>
                  </w:r>
                  <w:r w:rsidRPr="00542864">
                    <w:rPr>
                      <w:rFonts w:ascii="Times New Roman" w:eastAsia="Times New Roman" w:hAnsi="Times New Roman" w:cs="Times New Roman"/>
                      <w:color w:val="222222"/>
                      <w:sz w:val="24"/>
                      <w:szCs w:val="24"/>
                    </w:rPr>
                    <w:t xml:space="preserve"> </w:t>
                  </w:r>
                </w:p>
              </w:tc>
              <w:tc>
                <w:tcPr>
                  <w:tcW w:w="4966" w:type="dxa"/>
                </w:tcPr>
                <w:p w:rsidR="00CB2A07" w:rsidRDefault="005C5707">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CB2A07" w:rsidRDefault="005C5707">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CB2A07" w:rsidRDefault="00CB2A07">
                  <w:pPr>
                    <w:shd w:val="clear" w:color="auto" w:fill="FFFFFF"/>
                    <w:rPr>
                      <w:rFonts w:ascii="Times New Roman" w:eastAsia="Times New Roman" w:hAnsi="Times New Roman" w:cs="Times New Roman"/>
                    </w:rPr>
                  </w:pP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CB2A07" w:rsidRDefault="005C5707">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CB2A07" w:rsidRDefault="00CB2A07">
                  <w:pPr>
                    <w:shd w:val="clear" w:color="auto" w:fill="FFFFFF"/>
                    <w:rPr>
                      <w:rFonts w:ascii="Times New Roman" w:eastAsia="Times New Roman" w:hAnsi="Times New Roman" w:cs="Times New Roman"/>
                    </w:rPr>
                  </w:pP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CB2A07" w:rsidRDefault="00CB2A07">
                  <w:pPr>
                    <w:tabs>
                      <w:tab w:val="left" w:pos="459"/>
                    </w:tabs>
                    <w:ind w:firstLine="142"/>
                    <w:jc w:val="center"/>
                    <w:rPr>
                      <w:rFonts w:ascii="Times New Roman" w:eastAsia="Times New Roman" w:hAnsi="Times New Roman" w:cs="Times New Roman"/>
                    </w:rPr>
                  </w:pPr>
                </w:p>
              </w:tc>
            </w:tr>
          </w:tbl>
          <w:p w:rsidR="00CB2A07" w:rsidRDefault="00CB2A07">
            <w:pPr>
              <w:rPr>
                <w:rFonts w:ascii="Calibri" w:eastAsia="Calibri" w:hAnsi="Calibri" w:cs="Calibri"/>
                <w:sz w:val="20"/>
                <w:szCs w:val="20"/>
              </w:rPr>
            </w:pPr>
          </w:p>
        </w:tc>
        <w:tc>
          <w:tcPr>
            <w:tcW w:w="4968" w:type="dxa"/>
          </w:tcPr>
          <w:p w:rsidR="00CB2A07" w:rsidRDefault="00CB2A07">
            <w:pPr>
              <w:widowControl w:val="0"/>
              <w:rPr>
                <w:rFonts w:ascii="Calibri" w:eastAsia="Calibri" w:hAnsi="Calibri" w:cs="Calibri"/>
                <w:sz w:val="20"/>
                <w:szCs w:val="20"/>
              </w:rPr>
            </w:pPr>
          </w:p>
          <w:tbl>
            <w:tblPr>
              <w:tblStyle w:val="affff5"/>
              <w:tblW w:w="9894" w:type="dxa"/>
              <w:tblInd w:w="0" w:type="dxa"/>
              <w:tblLayout w:type="fixed"/>
              <w:tblLook w:val="0000" w:firstRow="0" w:lastRow="0" w:firstColumn="0" w:lastColumn="0" w:noHBand="0" w:noVBand="0"/>
            </w:tblPr>
            <w:tblGrid>
              <w:gridCol w:w="4928"/>
              <w:gridCol w:w="4966"/>
            </w:tblGrid>
            <w:tr w:rsidR="00CB2A07">
              <w:tc>
                <w:tcPr>
                  <w:tcW w:w="4928" w:type="dxa"/>
                </w:tcPr>
                <w:p w:rsidR="00CB2A07" w:rsidRDefault="005C5707">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CB2A07" w:rsidRDefault="005C5707">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CB2A07">
              <w:tc>
                <w:tcPr>
                  <w:tcW w:w="4928" w:type="dxa"/>
                </w:tcPr>
                <w:p w:rsidR="00CB2A07" w:rsidRDefault="005C5707">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CB2A07" w:rsidRDefault="005C5707">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CB2A07" w:rsidRDefault="00CB2A07">
                  <w:pPr>
                    <w:shd w:val="clear" w:color="auto" w:fill="FFFFFF"/>
                    <w:rPr>
                      <w:rFonts w:ascii="Times New Roman" w:eastAsia="Times New Roman" w:hAnsi="Times New Roman" w:cs="Times New Roman"/>
                    </w:rPr>
                  </w:pP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CB2A07" w:rsidRDefault="005C5707">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CB2A07" w:rsidRDefault="005C5707">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CB2A07" w:rsidRDefault="005C5707">
                  <w:pPr>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CB2A07" w:rsidRDefault="005C5707">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CB2A07" w:rsidRDefault="00CB2A07">
                  <w:pPr>
                    <w:jc w:val="both"/>
                    <w:rPr>
                      <w:rFonts w:ascii="Times New Roman" w:eastAsia="Times New Roman" w:hAnsi="Times New Roman" w:cs="Times New Roman"/>
                    </w:rPr>
                  </w:pPr>
                </w:p>
                <w:p w:rsidR="00CB2A07" w:rsidRDefault="00CB2A07" w:rsidP="00542864">
                  <w:pPr>
                    <w:jc w:val="both"/>
                    <w:rPr>
                      <w:rFonts w:ascii="Times New Roman" w:eastAsia="Times New Roman" w:hAnsi="Times New Roman" w:cs="Times New Roman"/>
                    </w:rPr>
                  </w:pPr>
                </w:p>
              </w:tc>
              <w:tc>
                <w:tcPr>
                  <w:tcW w:w="4966" w:type="dxa"/>
                </w:tcPr>
                <w:p w:rsidR="00CB2A07" w:rsidRDefault="005C5707">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CB2A07" w:rsidRDefault="005C5707">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CB2A07" w:rsidRDefault="00CB2A07">
                  <w:pPr>
                    <w:shd w:val="clear" w:color="auto" w:fill="FFFFFF"/>
                    <w:rPr>
                      <w:rFonts w:ascii="Times New Roman" w:eastAsia="Times New Roman" w:hAnsi="Times New Roman" w:cs="Times New Roman"/>
                    </w:rPr>
                  </w:pP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CB2A07" w:rsidRDefault="005C5707">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CB2A07" w:rsidRDefault="00CB2A07">
                  <w:pPr>
                    <w:shd w:val="clear" w:color="auto" w:fill="FFFFFF"/>
                    <w:rPr>
                      <w:rFonts w:ascii="Times New Roman" w:eastAsia="Times New Roman" w:hAnsi="Times New Roman" w:cs="Times New Roman"/>
                    </w:rPr>
                  </w:pP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CB2A07" w:rsidRDefault="005C5707">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CB2A07" w:rsidRDefault="00CB2A07">
                  <w:pPr>
                    <w:tabs>
                      <w:tab w:val="left" w:pos="459"/>
                    </w:tabs>
                    <w:ind w:firstLine="142"/>
                    <w:jc w:val="center"/>
                    <w:rPr>
                      <w:rFonts w:ascii="Times New Roman" w:eastAsia="Times New Roman" w:hAnsi="Times New Roman" w:cs="Times New Roman"/>
                    </w:rPr>
                  </w:pPr>
                </w:p>
              </w:tc>
            </w:tr>
          </w:tbl>
          <w:p w:rsidR="00CB2A07" w:rsidRDefault="00CB2A07">
            <w:pPr>
              <w:rPr>
                <w:rFonts w:ascii="Calibri" w:eastAsia="Calibri" w:hAnsi="Calibri" w:cs="Calibri"/>
                <w:sz w:val="20"/>
                <w:szCs w:val="20"/>
              </w:rPr>
            </w:pPr>
          </w:p>
        </w:tc>
      </w:tr>
    </w:tbl>
    <w:p w:rsidR="00CB2A07" w:rsidRDefault="00CB2A07">
      <w:pPr>
        <w:spacing w:after="160" w:line="259" w:lineRule="auto"/>
        <w:ind w:firstLine="708"/>
        <w:rPr>
          <w:rFonts w:ascii="Times New Roman" w:eastAsia="Times New Roman" w:hAnsi="Times New Roman" w:cs="Times New Roman"/>
        </w:rPr>
      </w:pPr>
    </w:p>
    <w:p w:rsidR="00CB2A07" w:rsidRPr="00360003" w:rsidRDefault="00CB2A07">
      <w:pPr>
        <w:spacing w:line="240" w:lineRule="auto"/>
        <w:rPr>
          <w:rFonts w:ascii="Times New Roman" w:eastAsia="Times New Roman" w:hAnsi="Times New Roman" w:cs="Times New Roman"/>
          <w:sz w:val="24"/>
          <w:szCs w:val="24"/>
          <w:lang w:val="uk-UA"/>
        </w:rPr>
      </w:pPr>
    </w:p>
    <w:sectPr w:rsidR="00CB2A07" w:rsidRPr="00360003">
      <w:pgSz w:w="11909" w:h="16834"/>
      <w:pgMar w:top="1440"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3C9F"/>
    <w:multiLevelType w:val="multilevel"/>
    <w:tmpl w:val="D4427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4203D7"/>
    <w:multiLevelType w:val="multilevel"/>
    <w:tmpl w:val="6D0C00A6"/>
    <w:lvl w:ilvl="0">
      <w:start w:val="1"/>
      <w:numFmt w:val="decimal"/>
      <w:suff w:val="space"/>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49E8049A"/>
    <w:multiLevelType w:val="multilevel"/>
    <w:tmpl w:val="6F3E1F6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 w:numId="4">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5">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50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07"/>
    <w:rsid w:val="000B1C5A"/>
    <w:rsid w:val="002A0E38"/>
    <w:rsid w:val="002C0535"/>
    <w:rsid w:val="00360003"/>
    <w:rsid w:val="00363554"/>
    <w:rsid w:val="00392564"/>
    <w:rsid w:val="003E7A63"/>
    <w:rsid w:val="004743F6"/>
    <w:rsid w:val="00542864"/>
    <w:rsid w:val="005B2C22"/>
    <w:rsid w:val="005C5707"/>
    <w:rsid w:val="005E7B4E"/>
    <w:rsid w:val="00667BB2"/>
    <w:rsid w:val="0075136D"/>
    <w:rsid w:val="00804A35"/>
    <w:rsid w:val="00833A9B"/>
    <w:rsid w:val="00861E1B"/>
    <w:rsid w:val="008F457C"/>
    <w:rsid w:val="00910BD5"/>
    <w:rsid w:val="0092725E"/>
    <w:rsid w:val="009664DB"/>
    <w:rsid w:val="00A707CB"/>
    <w:rsid w:val="00B80FA6"/>
    <w:rsid w:val="00BA5284"/>
    <w:rsid w:val="00C7039B"/>
    <w:rsid w:val="00CB2A07"/>
    <w:rsid w:val="00D52BCC"/>
    <w:rsid w:val="00D82EB5"/>
    <w:rsid w:val="00E23446"/>
    <w:rsid w:val="00E80ACA"/>
    <w:rsid w:val="00FD63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B76C"/>
  <w15:docId w15:val="{1AC8B816-9D0E-472C-95DE-7E4B7A0C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character" w:customStyle="1" w:styleId="qaitemunit">
    <w:name w:val="qa_item_unit"/>
    <w:rsid w:val="00C7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129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13297</Words>
  <Characters>7580</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dc:creator>
  <cp:lastModifiedBy>Наталі</cp:lastModifiedBy>
  <cp:revision>2</cp:revision>
  <dcterms:created xsi:type="dcterms:W3CDTF">2024-05-01T07:21:00Z</dcterms:created>
  <dcterms:modified xsi:type="dcterms:W3CDTF">2024-05-01T07:21:00Z</dcterms:modified>
</cp:coreProperties>
</file>