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2" w:rsidRDefault="00DA4C02" w:rsidP="00DA4C02">
      <w:pPr>
        <w:spacing w:after="0" w:line="240" w:lineRule="auto"/>
        <w:ind w:left="6096"/>
        <w:jc w:val="right"/>
        <w:rPr>
          <w:rFonts w:ascii="Times New Roman" w:hAnsi="Times New Roman" w:cs="Times New Roman"/>
          <w:b/>
          <w:sz w:val="24"/>
          <w:szCs w:val="24"/>
          <w:lang w:eastAsia="ar-SA"/>
        </w:rPr>
      </w:pPr>
      <w:r w:rsidRPr="00DA4C02">
        <w:rPr>
          <w:rFonts w:ascii="Times New Roman" w:hAnsi="Times New Roman" w:cs="Times New Roman"/>
          <w:b/>
          <w:sz w:val="24"/>
          <w:szCs w:val="24"/>
          <w:lang w:eastAsia="ar-SA"/>
        </w:rPr>
        <w:t xml:space="preserve">Додаток </w:t>
      </w:r>
      <w:r w:rsidR="00EB27C7">
        <w:rPr>
          <w:rFonts w:ascii="Times New Roman" w:hAnsi="Times New Roman" w:cs="Times New Roman"/>
          <w:b/>
          <w:sz w:val="24"/>
          <w:szCs w:val="24"/>
          <w:lang w:eastAsia="ar-SA"/>
        </w:rPr>
        <w:t>4</w:t>
      </w:r>
    </w:p>
    <w:p w:rsidR="00DA4C02" w:rsidRPr="00DA4C02" w:rsidRDefault="00DA4C02" w:rsidP="00DA4C02">
      <w:pPr>
        <w:spacing w:after="0" w:line="240" w:lineRule="auto"/>
        <w:jc w:val="right"/>
        <w:rPr>
          <w:rFonts w:ascii="Times New Roman" w:hAnsi="Times New Roman" w:cs="Times New Roman"/>
          <w:b/>
          <w:sz w:val="24"/>
          <w:szCs w:val="24"/>
          <w:lang w:eastAsia="ar-SA"/>
        </w:rPr>
      </w:pPr>
    </w:p>
    <w:p w:rsidR="004D081D"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sz w:val="24"/>
          <w:szCs w:val="24"/>
        </w:rPr>
        <w:tab/>
      </w:r>
      <w:r w:rsidRPr="00DA4C02">
        <w:rPr>
          <w:rFonts w:ascii="Times New Roman" w:hAnsi="Times New Roman" w:cs="Times New Roman"/>
          <w:b/>
          <w:sz w:val="24"/>
          <w:szCs w:val="24"/>
        </w:rPr>
        <w:t xml:space="preserve">Спосіб документального підтвердження переможцем торгів відсутності підстав, </w:t>
      </w:r>
      <w:r w:rsidRPr="00DA4C02">
        <w:rPr>
          <w:rFonts w:ascii="Times New Roman" w:hAnsi="Times New Roman" w:cs="Times New Roman"/>
          <w:b/>
          <w:sz w:val="24"/>
          <w:szCs w:val="24"/>
        </w:rPr>
        <w:br/>
        <w:t xml:space="preserve">передбачених </w:t>
      </w:r>
      <w:r w:rsidR="004D081D">
        <w:rPr>
          <w:rFonts w:ascii="Times New Roman" w:hAnsi="Times New Roman" w:cs="Times New Roman"/>
          <w:b/>
          <w:sz w:val="24"/>
          <w:szCs w:val="24"/>
        </w:rPr>
        <w:t>пунктом 4</w:t>
      </w:r>
      <w:r w:rsidR="004E236F">
        <w:rPr>
          <w:rFonts w:ascii="Times New Roman" w:hAnsi="Times New Roman" w:cs="Times New Roman"/>
          <w:b/>
          <w:sz w:val="24"/>
          <w:szCs w:val="24"/>
        </w:rPr>
        <w:t>7</w:t>
      </w:r>
      <w:r w:rsidR="004D081D">
        <w:rPr>
          <w:rFonts w:ascii="Times New Roman" w:hAnsi="Times New Roman" w:cs="Times New Roman"/>
          <w:b/>
          <w:sz w:val="24"/>
          <w:szCs w:val="24"/>
        </w:rPr>
        <w:t xml:space="preserve"> Особливостей</w:t>
      </w:r>
    </w:p>
    <w:p w:rsidR="004D081D" w:rsidRDefault="004D081D" w:rsidP="00DA4C02">
      <w:pPr>
        <w:spacing w:after="0" w:line="240" w:lineRule="auto"/>
        <w:jc w:val="center"/>
        <w:rPr>
          <w:rFonts w:ascii="Times New Roman" w:hAnsi="Times New Roman" w:cs="Times New Roman"/>
          <w:b/>
          <w:sz w:val="24"/>
          <w:szCs w:val="24"/>
        </w:rPr>
      </w:pPr>
    </w:p>
    <w:p w:rsidR="004D081D" w:rsidRPr="004D081D" w:rsidRDefault="004D081D" w:rsidP="00AF1D87">
      <w:pPr>
        <w:spacing w:after="0" w:line="240" w:lineRule="auto"/>
        <w:ind w:firstLine="708"/>
        <w:jc w:val="both"/>
        <w:rPr>
          <w:rFonts w:ascii="Times New Roman" w:hAnsi="Times New Roman" w:cs="Times New Roman"/>
          <w:sz w:val="24"/>
          <w:szCs w:val="24"/>
          <w:shd w:val="solid" w:color="FFFFFF" w:fill="FFFFFF"/>
        </w:rPr>
      </w:pPr>
      <w:r w:rsidRPr="004D081D">
        <w:rPr>
          <w:rStyle w:val="rvts0"/>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401" w:history="1">
        <w:r w:rsidRPr="004D081D">
          <w:rPr>
            <w:rStyle w:val="a4"/>
            <w:rFonts w:ascii="Times New Roman" w:hAnsi="Times New Roman" w:cs="Times New Roman"/>
            <w:color w:val="auto"/>
            <w:sz w:val="24"/>
            <w:szCs w:val="24"/>
            <w:u w:val="none"/>
          </w:rPr>
          <w:t>підпунктах 3</w:t>
        </w:r>
      </w:hyperlink>
      <w:r w:rsidRPr="004D081D">
        <w:rPr>
          <w:rStyle w:val="rvts0"/>
          <w:rFonts w:ascii="Times New Roman" w:hAnsi="Times New Roman" w:cs="Times New Roman"/>
          <w:sz w:val="24"/>
          <w:szCs w:val="24"/>
        </w:rPr>
        <w:t xml:space="preserve">, </w:t>
      </w:r>
      <w:hyperlink r:id="rId6" w:anchor="n403" w:history="1">
        <w:r w:rsidRPr="004D081D">
          <w:rPr>
            <w:rStyle w:val="a4"/>
            <w:rFonts w:ascii="Times New Roman" w:hAnsi="Times New Roman" w:cs="Times New Roman"/>
            <w:color w:val="auto"/>
            <w:sz w:val="24"/>
            <w:szCs w:val="24"/>
            <w:u w:val="none"/>
          </w:rPr>
          <w:t>5</w:t>
        </w:r>
      </w:hyperlink>
      <w:r w:rsidRPr="004D081D">
        <w:rPr>
          <w:rStyle w:val="rvts0"/>
          <w:rFonts w:ascii="Times New Roman" w:hAnsi="Times New Roman" w:cs="Times New Roman"/>
          <w:sz w:val="24"/>
          <w:szCs w:val="24"/>
        </w:rPr>
        <w:t xml:space="preserve">, </w:t>
      </w:r>
      <w:hyperlink r:id="rId7" w:anchor="n404" w:history="1">
        <w:r w:rsidRPr="004D081D">
          <w:rPr>
            <w:rStyle w:val="a4"/>
            <w:rFonts w:ascii="Times New Roman" w:hAnsi="Times New Roman" w:cs="Times New Roman"/>
            <w:color w:val="auto"/>
            <w:sz w:val="24"/>
            <w:szCs w:val="24"/>
            <w:u w:val="none"/>
          </w:rPr>
          <w:t>6</w:t>
        </w:r>
      </w:hyperlink>
      <w:r w:rsidRPr="004D081D">
        <w:rPr>
          <w:rStyle w:val="rvts0"/>
          <w:rFonts w:ascii="Times New Roman" w:hAnsi="Times New Roman" w:cs="Times New Roman"/>
          <w:sz w:val="24"/>
          <w:szCs w:val="24"/>
        </w:rPr>
        <w:t xml:space="preserve"> і </w:t>
      </w:r>
      <w:hyperlink r:id="rId8" w:anchor="n410" w:history="1">
        <w:r w:rsidRPr="004D081D">
          <w:rPr>
            <w:rStyle w:val="a4"/>
            <w:rFonts w:ascii="Times New Roman" w:hAnsi="Times New Roman" w:cs="Times New Roman"/>
            <w:color w:val="auto"/>
            <w:sz w:val="24"/>
            <w:szCs w:val="24"/>
            <w:u w:val="none"/>
          </w:rPr>
          <w:t>12</w:t>
        </w:r>
      </w:hyperlink>
      <w:r w:rsidRPr="004D081D">
        <w:rPr>
          <w:rStyle w:val="rvts0"/>
          <w:rFonts w:ascii="Times New Roman" w:hAnsi="Times New Roman" w:cs="Times New Roman"/>
          <w:sz w:val="24"/>
          <w:szCs w:val="24"/>
        </w:rPr>
        <w:t xml:space="preserve"> та в </w:t>
      </w:r>
      <w:hyperlink r:id="rId9" w:anchor="n411" w:history="1">
        <w:r w:rsidRPr="004D081D">
          <w:rPr>
            <w:rStyle w:val="a4"/>
            <w:rFonts w:ascii="Times New Roman" w:hAnsi="Times New Roman" w:cs="Times New Roman"/>
            <w:color w:val="auto"/>
            <w:sz w:val="24"/>
            <w:szCs w:val="24"/>
            <w:u w:val="none"/>
          </w:rPr>
          <w:t>абзаці чотирнадцятому</w:t>
        </w:r>
      </w:hyperlink>
      <w:r w:rsidRPr="004D081D">
        <w:rPr>
          <w:rStyle w:val="rvts0"/>
          <w:rFonts w:ascii="Times New Roman" w:hAnsi="Times New Roman" w:cs="Times New Roman"/>
          <w:sz w:val="24"/>
          <w:szCs w:val="24"/>
        </w:rPr>
        <w:t xml:space="preserve"> пункту 4</w:t>
      </w:r>
      <w:r w:rsidR="004E236F">
        <w:rPr>
          <w:rStyle w:val="rvts0"/>
          <w:rFonts w:ascii="Times New Roman" w:hAnsi="Times New Roman" w:cs="Times New Roman"/>
          <w:sz w:val="24"/>
          <w:szCs w:val="24"/>
        </w:rPr>
        <w:t>7</w:t>
      </w:r>
      <w:r w:rsidRPr="004D081D">
        <w:rPr>
          <w:rStyle w:val="rvts0"/>
          <w:rFonts w:ascii="Times New Roman" w:hAnsi="Times New Roman" w:cs="Times New Roman"/>
          <w:sz w:val="24"/>
          <w:szCs w:val="24"/>
        </w:rPr>
        <w:t xml:space="preserve"> Особливостей.</w:t>
      </w:r>
    </w:p>
    <w:p w:rsidR="004D081D" w:rsidRPr="004D081D" w:rsidRDefault="004D081D" w:rsidP="00AF1D87">
      <w:pPr>
        <w:spacing w:after="0" w:line="240" w:lineRule="auto"/>
        <w:ind w:firstLine="708"/>
        <w:jc w:val="both"/>
        <w:rPr>
          <w:rFonts w:ascii="Times New Roman" w:hAnsi="Times New Roman"/>
          <w:color w:val="000000" w:themeColor="text1"/>
          <w:sz w:val="24"/>
          <w:szCs w:val="24"/>
          <w:shd w:val="solid" w:color="FFFFFF" w:fill="FFFFFF"/>
        </w:rPr>
      </w:pPr>
    </w:p>
    <w:p w:rsidR="004D081D" w:rsidRDefault="004D081D" w:rsidP="00AF1D87">
      <w:pPr>
        <w:spacing w:after="0" w:line="240" w:lineRule="auto"/>
        <w:ind w:firstLine="708"/>
        <w:jc w:val="both"/>
        <w:rPr>
          <w:rFonts w:ascii="Times New Roman" w:hAnsi="Times New Roman"/>
          <w:color w:val="000000" w:themeColor="text1"/>
          <w:sz w:val="24"/>
          <w:szCs w:val="24"/>
          <w:shd w:val="solid" w:color="FFFFFF" w:fill="FFFFFF"/>
        </w:rPr>
      </w:pPr>
    </w:p>
    <w:tbl>
      <w:tblPr>
        <w:tblW w:w="9744"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357"/>
        <w:gridCol w:w="5387"/>
      </w:tblGrid>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Підстава для відмови учаснику в участі у процедурі закупівлі</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Документи, які повинен надати переможець</w:t>
            </w:r>
          </w:p>
        </w:tc>
      </w:tr>
      <w:tr w:rsidR="00310E99" w:rsidRPr="00DA4C02" w:rsidTr="00310E99">
        <w:trPr>
          <w:trHeight w:val="555"/>
        </w:trPr>
        <w:tc>
          <w:tcPr>
            <w:tcW w:w="4357" w:type="dxa"/>
            <w:tcBorders>
              <w:top w:val="single" w:sz="4" w:space="0" w:color="auto"/>
              <w:left w:val="single" w:sz="4" w:space="0" w:color="000001"/>
              <w:bottom w:val="single" w:sz="4" w:space="0" w:color="auto"/>
            </w:tcBorders>
            <w:shd w:val="clear" w:color="auto" w:fill="auto"/>
            <w:tcMar>
              <w:left w:w="98" w:type="dxa"/>
            </w:tcMar>
          </w:tcPr>
          <w:p w:rsidR="004D081D" w:rsidRPr="004D081D" w:rsidRDefault="004D081D"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підпункт 3</w:t>
            </w:r>
            <w:r w:rsidR="00D55949">
              <w:rPr>
                <w:rFonts w:ascii="Times New Roman" w:hAnsi="Times New Roman" w:cs="Times New Roman"/>
                <w:sz w:val="24"/>
                <w:szCs w:val="24"/>
                <w:lang w:val="uk-UA"/>
              </w:rPr>
              <w:t xml:space="preserve"> пункту 4</w:t>
            </w:r>
            <w:r w:rsidR="004E236F">
              <w:rPr>
                <w:rFonts w:ascii="Times New Roman" w:hAnsi="Times New Roman" w:cs="Times New Roman"/>
                <w:sz w:val="24"/>
                <w:szCs w:val="24"/>
                <w:lang w:val="uk-UA"/>
              </w:rPr>
              <w:t>7</w:t>
            </w:r>
            <w:r w:rsidR="00D55949">
              <w:rPr>
                <w:rFonts w:ascii="Times New Roman" w:hAnsi="Times New Roman" w:cs="Times New Roman"/>
                <w:sz w:val="24"/>
                <w:szCs w:val="24"/>
                <w:lang w:val="uk-UA"/>
              </w:rPr>
              <w:t xml:space="preserve"> Особливостей - </w:t>
            </w:r>
            <w:r w:rsidRPr="004D081D">
              <w:rPr>
                <w:rStyle w:val="rvts0"/>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081D" w:rsidRDefault="004D081D" w:rsidP="003F35CF">
            <w:pPr>
              <w:pStyle w:val="a3"/>
              <w:jc w:val="both"/>
              <w:rPr>
                <w:rFonts w:ascii="Times New Roman" w:hAnsi="Times New Roman" w:cs="Times New Roman"/>
                <w:sz w:val="24"/>
                <w:szCs w:val="24"/>
                <w:lang w:val="uk-UA"/>
              </w:rPr>
            </w:pPr>
          </w:p>
          <w:p w:rsidR="00310E99" w:rsidRPr="00FA62E7" w:rsidRDefault="00310E99" w:rsidP="00D55949">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DE5AE2" w:rsidRDefault="00DE5AE2" w:rsidP="00DE5AE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Автоматично формується в електронній системі закупівель в результаті інтеграції з Єдиним державним реєстром осіб, які вчинили корупційні та </w:t>
            </w:r>
            <w:proofErr w:type="spellStart"/>
            <w:r>
              <w:rPr>
                <w:rFonts w:ascii="Times New Roman" w:eastAsia="Times New Roman" w:hAnsi="Times New Roman" w:cs="Times New Roman"/>
                <w:color w:val="000000"/>
                <w:sz w:val="24"/>
                <w:szCs w:val="24"/>
              </w:rPr>
              <w:t>пов</w:t>
            </w:r>
            <w:proofErr w:type="spellEnd"/>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rPr>
              <w:t>язані</w:t>
            </w:r>
            <w:proofErr w:type="spellEnd"/>
            <w:r>
              <w:rPr>
                <w:rFonts w:ascii="Times New Roman" w:eastAsia="Times New Roman" w:hAnsi="Times New Roman" w:cs="Times New Roman"/>
                <w:color w:val="000000"/>
                <w:sz w:val="24"/>
                <w:szCs w:val="24"/>
              </w:rPr>
              <w:t xml:space="preserve"> з корупцією правопорушення, що </w:t>
            </w:r>
            <w:proofErr w:type="spellStart"/>
            <w:r>
              <w:rPr>
                <w:rFonts w:ascii="Times New Roman" w:eastAsia="Times New Roman" w:hAnsi="Times New Roman" w:cs="Times New Roman"/>
                <w:color w:val="000000"/>
                <w:sz w:val="24"/>
                <w:szCs w:val="24"/>
              </w:rPr>
              <w:t>адмініструється</w:t>
            </w:r>
            <w:proofErr w:type="spellEnd"/>
            <w:r>
              <w:rPr>
                <w:rFonts w:ascii="Times New Roman" w:eastAsia="Times New Roman" w:hAnsi="Times New Roman" w:cs="Times New Roman"/>
                <w:color w:val="000000"/>
                <w:sz w:val="24"/>
                <w:szCs w:val="24"/>
              </w:rPr>
              <w:t xml:space="preserve"> Національним агентством з питань запобігання корупції.</w:t>
            </w:r>
          </w:p>
          <w:p w:rsidR="00310E99" w:rsidRPr="00DE5AE2" w:rsidRDefault="00DE5AE2" w:rsidP="00DE5AE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 які відмовились від отримання РНОКПП надають на підтвердження і</w:t>
            </w:r>
            <w:r w:rsidR="00FA62E7">
              <w:rPr>
                <w:rFonts w:ascii="Times New Roman" w:hAnsi="Times New Roman" w:cs="Times New Roman"/>
                <w:color w:val="000000"/>
                <w:sz w:val="24"/>
                <w:szCs w:val="24"/>
              </w:rPr>
              <w:t>нформаційн</w:t>
            </w:r>
            <w:r>
              <w:rPr>
                <w:rFonts w:ascii="Times New Roman" w:hAnsi="Times New Roman" w:cs="Times New Roman"/>
                <w:color w:val="000000"/>
                <w:sz w:val="24"/>
                <w:szCs w:val="24"/>
              </w:rPr>
              <w:t>у</w:t>
            </w:r>
            <w:r w:rsidR="00FA62E7">
              <w:rPr>
                <w:rFonts w:ascii="Times New Roman" w:hAnsi="Times New Roman" w:cs="Times New Roman"/>
                <w:color w:val="000000"/>
                <w:sz w:val="24"/>
                <w:szCs w:val="24"/>
              </w:rPr>
              <w:t xml:space="preserve"> довідк</w:t>
            </w:r>
            <w:r>
              <w:rPr>
                <w:rFonts w:ascii="Times New Roman" w:hAnsi="Times New Roman" w:cs="Times New Roman"/>
                <w:color w:val="000000"/>
                <w:sz w:val="24"/>
                <w:szCs w:val="24"/>
              </w:rPr>
              <w:t>у</w:t>
            </w:r>
            <w:r w:rsidR="00FA62E7">
              <w:rPr>
                <w:rFonts w:ascii="Times New Roman" w:hAnsi="Times New Roman" w:cs="Times New Roman"/>
                <w:color w:val="000000"/>
                <w:sz w:val="24"/>
                <w:szCs w:val="24"/>
              </w:rPr>
              <w:t xml:space="preserve"> з Єдиного державного реєстру осіб, які вчинили корупційні або пов</w:t>
            </w:r>
            <w:r w:rsidR="00FA62E7" w:rsidRPr="00FA62E7">
              <w:rPr>
                <w:rFonts w:ascii="Times New Roman" w:hAnsi="Times New Roman" w:cs="Times New Roman"/>
                <w:color w:val="000000"/>
                <w:sz w:val="24"/>
                <w:szCs w:val="24"/>
              </w:rPr>
              <w:t>’</w:t>
            </w:r>
            <w:r w:rsidR="00FA62E7">
              <w:rPr>
                <w:rFonts w:ascii="Times New Roman" w:hAnsi="Times New Roman" w:cs="Times New Roman"/>
                <w:color w:val="000000"/>
                <w:sz w:val="24"/>
                <w:szCs w:val="24"/>
              </w:rPr>
              <w:t>язані з корупцією правопорушення, згідно якого не буде знайдено інформації про корупційні або пов</w:t>
            </w:r>
            <w:r w:rsidR="00FA62E7" w:rsidRPr="00FA62E7">
              <w:rPr>
                <w:rFonts w:ascii="Times New Roman" w:hAnsi="Times New Roman" w:cs="Times New Roman"/>
                <w:color w:val="000000"/>
                <w:sz w:val="24"/>
                <w:szCs w:val="24"/>
              </w:rPr>
              <w:t>’</w:t>
            </w:r>
            <w:r w:rsidR="00FA62E7">
              <w:rPr>
                <w:rFonts w:ascii="Times New Roman" w:hAnsi="Times New Roman" w:cs="Times New Roman"/>
                <w:color w:val="000000"/>
                <w:sz w:val="24"/>
                <w:szCs w:val="24"/>
              </w:rPr>
              <w:t>язані з корупцією правопорушення службової (посадової) особи учасника процедури закупівлі/фізичної особи, яка є</w:t>
            </w:r>
            <w:r>
              <w:rPr>
                <w:rFonts w:ascii="Times New Roman" w:hAnsi="Times New Roman" w:cs="Times New Roman"/>
                <w:color w:val="000000"/>
                <w:sz w:val="24"/>
                <w:szCs w:val="24"/>
              </w:rPr>
              <w:t xml:space="preserve"> учасником процедури закупівлі за письмовим запитом.</w:t>
            </w:r>
          </w:p>
        </w:tc>
      </w:tr>
      <w:tr w:rsidR="00310E99" w:rsidRPr="00DA4C02" w:rsidTr="00FA62E7">
        <w:trPr>
          <w:trHeight w:val="2956"/>
        </w:trPr>
        <w:tc>
          <w:tcPr>
            <w:tcW w:w="4357" w:type="dxa"/>
            <w:tcBorders>
              <w:top w:val="single" w:sz="4" w:space="0" w:color="auto"/>
              <w:left w:val="single" w:sz="4" w:space="0" w:color="000001"/>
              <w:bottom w:val="single" w:sz="4" w:space="0" w:color="000001"/>
            </w:tcBorders>
            <w:shd w:val="clear" w:color="auto" w:fill="auto"/>
            <w:tcMar>
              <w:left w:w="98" w:type="dxa"/>
            </w:tcMar>
          </w:tcPr>
          <w:p w:rsidR="00D55949" w:rsidRPr="00D55949" w:rsidRDefault="00D55949" w:rsidP="003F35CF">
            <w:pPr>
              <w:pStyle w:val="a3"/>
              <w:jc w:val="both"/>
              <w:rPr>
                <w:rFonts w:ascii="Times New Roman" w:hAnsi="Times New Roman" w:cs="Times New Roman"/>
                <w:sz w:val="24"/>
                <w:szCs w:val="24"/>
                <w:lang w:val="uk-UA"/>
              </w:rPr>
            </w:pPr>
            <w:r w:rsidRPr="00D55949">
              <w:rPr>
                <w:rFonts w:ascii="Times New Roman" w:hAnsi="Times New Roman" w:cs="Times New Roman"/>
                <w:sz w:val="24"/>
                <w:szCs w:val="24"/>
                <w:lang w:val="uk-UA"/>
              </w:rPr>
              <w:t>підпункт 5 пункту 4</w:t>
            </w:r>
            <w:r w:rsidR="004E236F">
              <w:rPr>
                <w:rFonts w:ascii="Times New Roman" w:hAnsi="Times New Roman" w:cs="Times New Roman"/>
                <w:sz w:val="24"/>
                <w:szCs w:val="24"/>
                <w:lang w:val="uk-UA"/>
              </w:rPr>
              <w:t>7</w:t>
            </w:r>
            <w:r w:rsidRPr="00D55949">
              <w:rPr>
                <w:rFonts w:ascii="Times New Roman" w:hAnsi="Times New Roman" w:cs="Times New Roman"/>
                <w:sz w:val="24"/>
                <w:szCs w:val="24"/>
                <w:lang w:val="uk-UA"/>
              </w:rPr>
              <w:t xml:space="preserve"> Особливостей - </w:t>
            </w:r>
            <w:r w:rsidRPr="00D55949">
              <w:rPr>
                <w:rStyle w:val="rvts0"/>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55949">
              <w:rPr>
                <w:rStyle w:val="rvts0"/>
                <w:rFonts w:ascii="Times New Roman" w:hAnsi="Times New Roman" w:cs="Times New Roman"/>
                <w:sz w:val="24"/>
                <w:szCs w:val="24"/>
              </w:rPr>
              <w:t>;</w:t>
            </w:r>
          </w:p>
          <w:p w:rsidR="00310E99" w:rsidRPr="00310E99" w:rsidRDefault="00310E99" w:rsidP="003F35CF">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310E99" w:rsidRDefault="007D18CD" w:rsidP="002B1AA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sidR="002B1AA4">
              <w:rPr>
                <w:rFonts w:ascii="Times New Roman" w:hAnsi="Times New Roman" w:cs="Times New Roman"/>
                <w:color w:val="000000"/>
                <w:sz w:val="24"/>
                <w:szCs w:val="24"/>
              </w:rPr>
              <w:t>шістдесяти</w:t>
            </w:r>
            <w:r>
              <w:rPr>
                <w:rFonts w:ascii="Times New Roman" w:hAnsi="Times New Roman" w:cs="Times New Roman"/>
                <w:color w:val="000000"/>
                <w:sz w:val="24"/>
                <w:szCs w:val="24"/>
              </w:rPr>
              <w:t xml:space="preserve"> денної давнини від дати подання документа.</w:t>
            </w:r>
          </w:p>
        </w:tc>
      </w:tr>
      <w:tr w:rsidR="00DA4C02" w:rsidRPr="00DA4C02" w:rsidTr="007D18CD">
        <w:trPr>
          <w:trHeight w:val="3585"/>
        </w:trPr>
        <w:tc>
          <w:tcPr>
            <w:tcW w:w="4357" w:type="dxa"/>
            <w:tcBorders>
              <w:top w:val="single" w:sz="4" w:space="0" w:color="000001"/>
              <w:left w:val="single" w:sz="4" w:space="0" w:color="000001"/>
              <w:bottom w:val="single" w:sz="4" w:space="0" w:color="auto"/>
            </w:tcBorders>
            <w:shd w:val="clear" w:color="auto" w:fill="auto"/>
            <w:tcMar>
              <w:left w:w="98" w:type="dxa"/>
            </w:tcMar>
          </w:tcPr>
          <w:p w:rsidR="00442F39" w:rsidRDefault="002D2BE6" w:rsidP="003F35CF">
            <w:pPr>
              <w:pStyle w:val="a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підпункт 6 пункту 4</w:t>
            </w:r>
            <w:r w:rsidR="004E236F">
              <w:rPr>
                <w:rFonts w:ascii="Times New Roman" w:hAnsi="Times New Roman" w:cs="Times New Roman"/>
                <w:sz w:val="24"/>
                <w:szCs w:val="24"/>
                <w:lang w:val="uk-UA" w:eastAsia="uk-UA"/>
              </w:rPr>
              <w:t>7</w:t>
            </w:r>
            <w:r>
              <w:rPr>
                <w:rFonts w:ascii="Times New Roman" w:hAnsi="Times New Roman" w:cs="Times New Roman"/>
                <w:sz w:val="24"/>
                <w:szCs w:val="24"/>
                <w:lang w:val="uk-UA" w:eastAsia="uk-UA"/>
              </w:rPr>
              <w:t xml:space="preserve"> Особливостей - </w:t>
            </w:r>
            <w:r w:rsidRPr="002D2BE6">
              <w:rPr>
                <w:rStyle w:val="rvts0"/>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Style w:val="rvts0"/>
              </w:rPr>
              <w:t>;</w:t>
            </w:r>
          </w:p>
          <w:p w:rsidR="00DA4C02" w:rsidRPr="003F35CF" w:rsidRDefault="00DA4C02" w:rsidP="002D2BE6">
            <w:pPr>
              <w:pStyle w:val="a3"/>
              <w:jc w:val="both"/>
              <w:rPr>
                <w:rFonts w:ascii="Times New Roman" w:hAnsi="Times New Roman" w:cs="Times New Roman"/>
                <w:sz w:val="24"/>
                <w:szCs w:val="24"/>
                <w:lang w:val="uk-UA" w:eastAsia="uk-UA"/>
              </w:rPr>
            </w:pPr>
          </w:p>
        </w:tc>
        <w:tc>
          <w:tcPr>
            <w:tcW w:w="53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DA4C02" w:rsidRDefault="007D18CD" w:rsidP="007D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r w:rsidR="002B1AA4">
              <w:rPr>
                <w:rFonts w:ascii="Times New Roman" w:hAnsi="Times New Roman" w:cs="Times New Roman"/>
                <w:sz w:val="24"/>
                <w:szCs w:val="24"/>
              </w:rPr>
              <w:t>шістдесяти</w:t>
            </w:r>
            <w:r>
              <w:rPr>
                <w:rFonts w:ascii="Times New Roman" w:hAnsi="Times New Roman" w:cs="Times New Roman"/>
                <w:sz w:val="24"/>
                <w:szCs w:val="24"/>
              </w:rPr>
              <w:t xml:space="preserve"> денної давнини від дати подання документа.</w:t>
            </w:r>
          </w:p>
          <w:p w:rsidR="007D18CD" w:rsidRPr="00DA4C02" w:rsidRDefault="007D18CD" w:rsidP="007D18CD">
            <w:pPr>
              <w:spacing w:after="0" w:line="240" w:lineRule="auto"/>
              <w:jc w:val="both"/>
              <w:rPr>
                <w:rFonts w:ascii="Times New Roman" w:hAnsi="Times New Roman" w:cs="Times New Roman"/>
                <w:sz w:val="24"/>
                <w:szCs w:val="24"/>
              </w:rPr>
            </w:pPr>
          </w:p>
        </w:tc>
      </w:tr>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2D2BE6" w:rsidRPr="002D2BE6" w:rsidRDefault="002D2BE6"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підпункт 12 пункту 4</w:t>
            </w:r>
            <w:r w:rsidR="004E236F">
              <w:rPr>
                <w:rFonts w:ascii="Times New Roman" w:hAnsi="Times New Roman" w:cs="Times New Roman"/>
                <w:sz w:val="24"/>
                <w:szCs w:val="24"/>
                <w:lang w:val="uk-UA"/>
              </w:rPr>
              <w:t>7</w:t>
            </w:r>
            <w:r>
              <w:rPr>
                <w:rFonts w:ascii="Times New Roman" w:hAnsi="Times New Roman" w:cs="Times New Roman"/>
                <w:sz w:val="24"/>
                <w:szCs w:val="24"/>
                <w:lang w:val="uk-UA"/>
              </w:rPr>
              <w:t xml:space="preserve"> Особливостей -  </w:t>
            </w:r>
            <w:r w:rsidRPr="002D2BE6">
              <w:rPr>
                <w:rStyle w:val="rvts0"/>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2BE6" w:rsidRDefault="002D2BE6" w:rsidP="003F35CF">
            <w:pPr>
              <w:pStyle w:val="a3"/>
              <w:jc w:val="both"/>
              <w:rPr>
                <w:rFonts w:ascii="Times New Roman" w:hAnsi="Times New Roman" w:cs="Times New Roman"/>
                <w:sz w:val="24"/>
                <w:szCs w:val="24"/>
                <w:lang w:val="uk-UA"/>
              </w:rPr>
            </w:pPr>
          </w:p>
          <w:p w:rsidR="00DA4C02" w:rsidRPr="003F35CF" w:rsidRDefault="00DA4C02" w:rsidP="003F35CF">
            <w:pPr>
              <w:pStyle w:val="a3"/>
              <w:jc w:val="both"/>
              <w:rPr>
                <w:rFonts w:ascii="Times New Roman" w:hAnsi="Times New Roman" w:cs="Times New Roman"/>
                <w:sz w:val="24"/>
                <w:szCs w:val="24"/>
                <w:lang w:val="uk-UA"/>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7A0741" w:rsidP="002B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r w:rsidR="002B1AA4">
              <w:rPr>
                <w:rFonts w:ascii="Times New Roman" w:hAnsi="Times New Roman" w:cs="Times New Roman"/>
                <w:sz w:val="24"/>
                <w:szCs w:val="24"/>
              </w:rPr>
              <w:t>шістдесяти</w:t>
            </w:r>
            <w:r>
              <w:rPr>
                <w:rFonts w:ascii="Times New Roman" w:hAnsi="Times New Roman" w:cs="Times New Roman"/>
                <w:sz w:val="24"/>
                <w:szCs w:val="24"/>
              </w:rPr>
              <w:t xml:space="preserve"> денної давнини від дати подання документа.</w:t>
            </w:r>
          </w:p>
        </w:tc>
      </w:tr>
      <w:tr w:rsidR="007A0741"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2D2BE6" w:rsidRPr="002D2BE6" w:rsidRDefault="002D2BE6" w:rsidP="007A0741">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абзац 14 пункту 4</w:t>
            </w:r>
            <w:r w:rsidR="004E236F">
              <w:rPr>
                <w:rFonts w:ascii="Times New Roman" w:hAnsi="Times New Roman" w:cs="Times New Roman"/>
                <w:sz w:val="24"/>
                <w:szCs w:val="24"/>
              </w:rPr>
              <w:t>7</w:t>
            </w:r>
            <w:r>
              <w:rPr>
                <w:rFonts w:ascii="Times New Roman" w:hAnsi="Times New Roman" w:cs="Times New Roman"/>
                <w:sz w:val="24"/>
                <w:szCs w:val="24"/>
              </w:rPr>
              <w:t xml:space="preserve"> Особливостей - </w:t>
            </w:r>
            <w:r w:rsidRPr="002D2BE6">
              <w:rPr>
                <w:rFonts w:ascii="Times New Roman" w:hAnsi="Times New Roman" w:cs="Times New Roman"/>
                <w:sz w:val="24"/>
                <w:szCs w:val="24"/>
              </w:rPr>
              <w:t>у</w:t>
            </w:r>
            <w:r w:rsidRPr="002D2BE6">
              <w:rPr>
                <w:rStyle w:val="rvts0"/>
                <w:rFonts w:ascii="Times New Roman" w:hAnsi="Times New Roman" w:cs="Times New Roman"/>
                <w:sz w:val="24"/>
                <w:szCs w:val="24"/>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2BE6" w:rsidRDefault="002D2BE6" w:rsidP="007A0741">
            <w:pPr>
              <w:spacing w:after="0" w:line="240" w:lineRule="auto"/>
              <w:ind w:right="140"/>
              <w:jc w:val="both"/>
              <w:rPr>
                <w:rFonts w:ascii="Times New Roman" w:hAnsi="Times New Roman" w:cs="Times New Roman"/>
                <w:sz w:val="24"/>
                <w:szCs w:val="24"/>
              </w:rPr>
            </w:pPr>
          </w:p>
          <w:p w:rsidR="002D2BE6" w:rsidRDefault="002D2BE6" w:rsidP="007A0741">
            <w:pPr>
              <w:spacing w:after="0" w:line="240" w:lineRule="auto"/>
              <w:ind w:right="140"/>
              <w:jc w:val="both"/>
              <w:rPr>
                <w:rFonts w:ascii="Times New Roman" w:hAnsi="Times New Roman" w:cs="Times New Roman"/>
                <w:sz w:val="24"/>
                <w:szCs w:val="24"/>
              </w:rPr>
            </w:pPr>
          </w:p>
          <w:p w:rsidR="007A0741" w:rsidRDefault="007A0741" w:rsidP="002D2BE6">
            <w:pPr>
              <w:spacing w:after="0" w:line="240" w:lineRule="auto"/>
              <w:ind w:right="140"/>
              <w:jc w:val="both"/>
              <w:rPr>
                <w:rFonts w:ascii="Times New Roman" w:hAnsi="Times New Roman" w:cs="Times New Roman"/>
                <w:sz w:val="24"/>
                <w:szCs w:val="24"/>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0741" w:rsidRPr="007A0741" w:rsidRDefault="007A0741" w:rsidP="007A0741">
            <w:pPr>
              <w:pStyle w:val="normal"/>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Pr="007A0741">
              <w:rPr>
                <w:rFonts w:ascii="Times New Roman" w:hAnsi="Times New Roman" w:cs="Times New Roman"/>
                <w:color w:val="000000"/>
                <w:sz w:val="24"/>
                <w:szCs w:val="24"/>
              </w:rPr>
              <w:t>’</w:t>
            </w:r>
            <w:r>
              <w:rPr>
                <w:rFonts w:ascii="Times New Roman" w:hAnsi="Times New Roman" w:cs="Times New Roman"/>
                <w:color w:val="000000"/>
                <w:sz w:val="24"/>
                <w:szCs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A4C02" w:rsidRPr="00DA4C02" w:rsidRDefault="00DA4C02" w:rsidP="00DA4C02">
      <w:pPr>
        <w:spacing w:after="0" w:line="240" w:lineRule="auto"/>
        <w:ind w:firstLine="709"/>
        <w:jc w:val="both"/>
        <w:rPr>
          <w:rFonts w:ascii="Times New Roman" w:hAnsi="Times New Roman" w:cs="Times New Roman"/>
          <w:b/>
          <w:sz w:val="24"/>
          <w:szCs w:val="24"/>
          <w:u w:val="single"/>
        </w:rPr>
      </w:pPr>
    </w:p>
    <w:p w:rsidR="00310E99" w:rsidRDefault="00310E99" w:rsidP="00DA4C02">
      <w:pPr>
        <w:spacing w:after="0" w:line="240" w:lineRule="auto"/>
        <w:ind w:firstLine="709"/>
        <w:jc w:val="both"/>
        <w:rPr>
          <w:rFonts w:ascii="Times New Roman" w:hAnsi="Times New Roman" w:cs="Times New Roman"/>
          <w:sz w:val="24"/>
          <w:szCs w:val="24"/>
          <w:lang w:eastAsia="ar-SA"/>
        </w:rPr>
      </w:pPr>
    </w:p>
    <w:p w:rsidR="002663D3" w:rsidRDefault="00DA4C02" w:rsidP="00032469">
      <w:pPr>
        <w:spacing w:after="0" w:line="240" w:lineRule="auto"/>
        <w:jc w:val="both"/>
        <w:rPr>
          <w:rFonts w:ascii="Times New Roman" w:hAnsi="Times New Roman" w:cs="Times New Roman"/>
          <w:sz w:val="24"/>
          <w:szCs w:val="24"/>
          <w:lang w:eastAsia="ar-SA"/>
        </w:rPr>
      </w:pPr>
      <w:r w:rsidRPr="00DA4C02">
        <w:rPr>
          <w:rFonts w:ascii="Times New Roman" w:hAnsi="Times New Roman" w:cs="Times New Roman"/>
          <w:sz w:val="24"/>
          <w:szCs w:val="24"/>
          <w:lang w:eastAsia="ar-SA"/>
        </w:rPr>
        <w:t xml:space="preserve">У разі ненадання переможцем торгів документів, зазначених у додатку </w:t>
      </w:r>
      <w:r w:rsidR="00EB27C7">
        <w:rPr>
          <w:rFonts w:ascii="Times New Roman" w:hAnsi="Times New Roman" w:cs="Times New Roman"/>
          <w:sz w:val="24"/>
          <w:szCs w:val="24"/>
          <w:lang w:eastAsia="ar-SA"/>
        </w:rPr>
        <w:t>4</w:t>
      </w:r>
      <w:r w:rsidRPr="00DA4C02">
        <w:rPr>
          <w:rFonts w:ascii="Times New Roman" w:hAnsi="Times New Roman" w:cs="Times New Roman"/>
          <w:sz w:val="24"/>
          <w:szCs w:val="24"/>
          <w:lang w:eastAsia="ar-SA"/>
        </w:rPr>
        <w:t xml:space="preserve">,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w:t>
      </w:r>
      <w:r w:rsidR="002663D3">
        <w:rPr>
          <w:rFonts w:ascii="Times New Roman" w:hAnsi="Times New Roman" w:cs="Times New Roman"/>
          <w:sz w:val="24"/>
          <w:szCs w:val="24"/>
          <w:lang w:eastAsia="ar-SA"/>
        </w:rPr>
        <w:t xml:space="preserve">відповідно до </w:t>
      </w:r>
      <w:r w:rsidR="002663D3">
        <w:rPr>
          <w:rFonts w:ascii="Times New Roman" w:hAnsi="Times New Roman"/>
          <w:sz w:val="24"/>
          <w:szCs w:val="24"/>
        </w:rPr>
        <w:t>абзацу 3 підпункту 3 пункту 4</w:t>
      </w:r>
      <w:r w:rsidR="004E236F">
        <w:rPr>
          <w:rFonts w:ascii="Times New Roman" w:hAnsi="Times New Roman"/>
          <w:sz w:val="24"/>
          <w:szCs w:val="24"/>
        </w:rPr>
        <w:t>4</w:t>
      </w:r>
      <w:r w:rsidR="002663D3">
        <w:rPr>
          <w:rFonts w:ascii="Times New Roman" w:hAnsi="Times New Roman"/>
          <w:sz w:val="24"/>
          <w:szCs w:val="24"/>
        </w:rPr>
        <w:t xml:space="preserve"> Особливостей.</w:t>
      </w:r>
    </w:p>
    <w:p w:rsidR="002663D3" w:rsidRDefault="002663D3" w:rsidP="00DA4C02">
      <w:pPr>
        <w:spacing w:after="0" w:line="240" w:lineRule="auto"/>
        <w:ind w:firstLine="709"/>
        <w:jc w:val="both"/>
        <w:rPr>
          <w:rFonts w:ascii="Times New Roman" w:hAnsi="Times New Roman" w:cs="Times New Roman"/>
          <w:sz w:val="24"/>
          <w:szCs w:val="24"/>
          <w:lang w:eastAsia="ar-SA"/>
        </w:rPr>
      </w:pPr>
    </w:p>
    <w:sectPr w:rsidR="002663D3" w:rsidSect="005602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C02"/>
    <w:rsid w:val="00032469"/>
    <w:rsid w:val="000332C5"/>
    <w:rsid w:val="00194297"/>
    <w:rsid w:val="002663D3"/>
    <w:rsid w:val="00295FAE"/>
    <w:rsid w:val="002979F3"/>
    <w:rsid w:val="002B1AA4"/>
    <w:rsid w:val="002D2BE6"/>
    <w:rsid w:val="00310E99"/>
    <w:rsid w:val="00322DB2"/>
    <w:rsid w:val="003F35CF"/>
    <w:rsid w:val="00433EBC"/>
    <w:rsid w:val="00442F39"/>
    <w:rsid w:val="004D081D"/>
    <w:rsid w:val="004E236F"/>
    <w:rsid w:val="004F5A3C"/>
    <w:rsid w:val="0056020C"/>
    <w:rsid w:val="006158D8"/>
    <w:rsid w:val="00750A34"/>
    <w:rsid w:val="007A0741"/>
    <w:rsid w:val="007D18CD"/>
    <w:rsid w:val="007F2440"/>
    <w:rsid w:val="008902FC"/>
    <w:rsid w:val="00930B79"/>
    <w:rsid w:val="009427D0"/>
    <w:rsid w:val="0096501A"/>
    <w:rsid w:val="009B54A4"/>
    <w:rsid w:val="009D6ED7"/>
    <w:rsid w:val="00AF1D87"/>
    <w:rsid w:val="00B20DA2"/>
    <w:rsid w:val="00BC45E6"/>
    <w:rsid w:val="00CE6824"/>
    <w:rsid w:val="00D55949"/>
    <w:rsid w:val="00D94EC7"/>
    <w:rsid w:val="00DA4C02"/>
    <w:rsid w:val="00DB716C"/>
    <w:rsid w:val="00DE5AE2"/>
    <w:rsid w:val="00E51992"/>
    <w:rsid w:val="00EB27C7"/>
    <w:rsid w:val="00FA62E7"/>
    <w:rsid w:val="00FB2D83"/>
    <w:rsid w:val="00FD3C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F5A3C"/>
    <w:pPr>
      <w:spacing w:after="0" w:line="240" w:lineRule="auto"/>
    </w:pPr>
    <w:rPr>
      <w:rFonts w:ascii="Cambria" w:eastAsia="Times New Roman" w:hAnsi="Cambria" w:cs="Cambria"/>
      <w:lang w:val="en-US" w:eastAsia="en-US"/>
    </w:rPr>
  </w:style>
  <w:style w:type="paragraph" w:customStyle="1" w:styleId="normal">
    <w:name w:val="normal"/>
    <w:rsid w:val="004F5A3C"/>
    <w:pPr>
      <w:spacing w:after="0" w:line="240" w:lineRule="auto"/>
    </w:pPr>
    <w:rPr>
      <w:rFonts w:ascii="Calibri" w:eastAsia="Calibri" w:hAnsi="Calibri" w:cs="Calibri"/>
      <w:sz w:val="20"/>
      <w:szCs w:val="20"/>
    </w:rPr>
  </w:style>
  <w:style w:type="character" w:customStyle="1" w:styleId="rvts0">
    <w:name w:val="rvts0"/>
    <w:basedOn w:val="a0"/>
    <w:rsid w:val="00FB2D83"/>
  </w:style>
  <w:style w:type="character" w:styleId="a4">
    <w:name w:val="Hyperlink"/>
    <w:basedOn w:val="a0"/>
    <w:uiPriority w:val="99"/>
    <w:semiHidden/>
    <w:unhideWhenUsed/>
    <w:rsid w:val="004D08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print" TargetMode="External"/><Relationship Id="rId11" Type="http://schemas.openxmlformats.org/officeDocument/2006/relationships/theme" Target="theme/theme1.xml"/><Relationship Id="rId5" Type="http://schemas.openxmlformats.org/officeDocument/2006/relationships/hyperlink" Target="https://zakon.rada.gov.ua/laws/show/1178-2022-%D0%BF/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4F45-2D96-44EA-9A00-FA2F522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3542</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2020-09-25T07:05:00Z</dcterms:created>
  <dcterms:modified xsi:type="dcterms:W3CDTF">2023-07-21T12:30:00Z</dcterms:modified>
</cp:coreProperties>
</file>